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F6E5" w14:textId="0504E877" w:rsidR="00BF77BB" w:rsidRPr="009E6192" w:rsidRDefault="009E6192" w:rsidP="009E6192">
      <w:pPr>
        <w:pStyle w:val="NoSpacing"/>
        <w:jc w:val="center"/>
        <w:rPr>
          <w:b/>
          <w:bCs/>
          <w:sz w:val="28"/>
          <w:szCs w:val="28"/>
        </w:rPr>
      </w:pPr>
      <w:r w:rsidRPr="009E6192">
        <w:rPr>
          <w:b/>
          <w:bCs/>
          <w:sz w:val="28"/>
          <w:szCs w:val="28"/>
        </w:rPr>
        <w:t>RIVER PINES PUBLIC UTILITY DISTRICT</w:t>
      </w:r>
    </w:p>
    <w:p w14:paraId="630ED5E4" w14:textId="77777777" w:rsidR="009E6192" w:rsidRDefault="009E6192" w:rsidP="009E6192">
      <w:pPr>
        <w:pStyle w:val="NoSpacing"/>
        <w:jc w:val="center"/>
        <w:rPr>
          <w:sz w:val="28"/>
          <w:szCs w:val="28"/>
        </w:rPr>
      </w:pPr>
    </w:p>
    <w:p w14:paraId="4F038D8B" w14:textId="29835608" w:rsidR="009E6192" w:rsidRDefault="009E6192" w:rsidP="009E6192">
      <w:pPr>
        <w:pStyle w:val="NoSpacing"/>
        <w:jc w:val="center"/>
        <w:rPr>
          <w:sz w:val="28"/>
          <w:szCs w:val="28"/>
        </w:rPr>
      </w:pPr>
      <w:r>
        <w:rPr>
          <w:sz w:val="28"/>
          <w:szCs w:val="28"/>
        </w:rPr>
        <w:t>NOTICE OF PUBLIC HEARING ON PROPOSED INCREASED</w:t>
      </w:r>
    </w:p>
    <w:p w14:paraId="38C5EB51" w14:textId="0669E583" w:rsidR="009E6192" w:rsidRDefault="009E6192" w:rsidP="009E6192">
      <w:pPr>
        <w:pStyle w:val="NoSpacing"/>
        <w:jc w:val="center"/>
        <w:rPr>
          <w:sz w:val="28"/>
          <w:szCs w:val="28"/>
        </w:rPr>
      </w:pPr>
      <w:r>
        <w:rPr>
          <w:sz w:val="28"/>
          <w:szCs w:val="28"/>
        </w:rPr>
        <w:t>RATES AND CHARGES FOR WATER AND WASTEWATER</w:t>
      </w:r>
    </w:p>
    <w:p w14:paraId="5590A11D" w14:textId="1AF90E4F" w:rsidR="009E6192" w:rsidRDefault="009E6192" w:rsidP="009E6192">
      <w:pPr>
        <w:pStyle w:val="NoSpacing"/>
        <w:jc w:val="center"/>
        <w:rPr>
          <w:sz w:val="28"/>
          <w:szCs w:val="28"/>
        </w:rPr>
      </w:pPr>
      <w:r>
        <w:rPr>
          <w:sz w:val="28"/>
          <w:szCs w:val="28"/>
        </w:rPr>
        <w:t>SERVICES</w:t>
      </w:r>
    </w:p>
    <w:p w14:paraId="18C2D459" w14:textId="77777777" w:rsidR="009E6192" w:rsidRDefault="009E6192" w:rsidP="009E6192">
      <w:pPr>
        <w:pStyle w:val="NoSpacing"/>
        <w:rPr>
          <w:sz w:val="28"/>
          <w:szCs w:val="28"/>
        </w:rPr>
      </w:pPr>
    </w:p>
    <w:p w14:paraId="44738FDF" w14:textId="7F6D3B3B" w:rsidR="009E6192" w:rsidRPr="009E6192" w:rsidRDefault="009E6192" w:rsidP="009E6192">
      <w:pPr>
        <w:pStyle w:val="NoSpacing"/>
        <w:rPr>
          <w:b/>
          <w:bCs/>
          <w:sz w:val="24"/>
          <w:szCs w:val="24"/>
        </w:rPr>
      </w:pPr>
      <w:r w:rsidRPr="009E6192">
        <w:rPr>
          <w:b/>
          <w:bCs/>
          <w:sz w:val="28"/>
          <w:szCs w:val="28"/>
        </w:rPr>
        <w:t>DATE &amp; TIME OF PUBLIC HEARING</w:t>
      </w:r>
      <w:r>
        <w:rPr>
          <w:sz w:val="28"/>
          <w:szCs w:val="28"/>
        </w:rPr>
        <w:t>:</w:t>
      </w:r>
      <w:r>
        <w:rPr>
          <w:sz w:val="24"/>
          <w:szCs w:val="24"/>
        </w:rPr>
        <w:t xml:space="preserve">  </w:t>
      </w:r>
      <w:r w:rsidRPr="009E6192">
        <w:rPr>
          <w:b/>
          <w:bCs/>
          <w:sz w:val="24"/>
          <w:szCs w:val="24"/>
        </w:rPr>
        <w:t>Wednesday January 15, 2025, at 5:30 p.m.</w:t>
      </w:r>
    </w:p>
    <w:p w14:paraId="4DDB7A79" w14:textId="1393A9F7" w:rsidR="009E6192" w:rsidRPr="009E6192" w:rsidRDefault="009E6192" w:rsidP="009E6192">
      <w:pPr>
        <w:pStyle w:val="NoSpacing"/>
        <w:rPr>
          <w:b/>
          <w:bCs/>
          <w:sz w:val="24"/>
          <w:szCs w:val="24"/>
        </w:rPr>
      </w:pPr>
      <w:r>
        <w:rPr>
          <w:b/>
          <w:bCs/>
          <w:sz w:val="24"/>
          <w:szCs w:val="24"/>
        </w:rPr>
        <w:t>LOCATION:</w:t>
      </w:r>
      <w:r w:rsidRPr="009E6192">
        <w:rPr>
          <w:b/>
          <w:bCs/>
          <w:sz w:val="24"/>
          <w:szCs w:val="24"/>
        </w:rPr>
        <w:tab/>
      </w:r>
      <w:r w:rsidRPr="009E6192">
        <w:rPr>
          <w:b/>
          <w:bCs/>
          <w:sz w:val="24"/>
          <w:szCs w:val="24"/>
        </w:rPr>
        <w:tab/>
      </w:r>
      <w:r w:rsidRPr="009E6192">
        <w:rPr>
          <w:b/>
          <w:bCs/>
          <w:sz w:val="24"/>
          <w:szCs w:val="24"/>
        </w:rPr>
        <w:tab/>
      </w:r>
      <w:r w:rsidRPr="009E6192">
        <w:rPr>
          <w:b/>
          <w:bCs/>
          <w:sz w:val="24"/>
          <w:szCs w:val="24"/>
        </w:rPr>
        <w:tab/>
      </w:r>
      <w:proofErr w:type="gramStart"/>
      <w:r w:rsidRPr="009E6192">
        <w:rPr>
          <w:b/>
          <w:bCs/>
          <w:sz w:val="24"/>
          <w:szCs w:val="24"/>
        </w:rPr>
        <w:tab/>
      </w:r>
      <w:r>
        <w:rPr>
          <w:b/>
          <w:bCs/>
          <w:sz w:val="24"/>
          <w:szCs w:val="24"/>
        </w:rPr>
        <w:t xml:space="preserve">  </w:t>
      </w:r>
      <w:r w:rsidRPr="009E6192">
        <w:rPr>
          <w:b/>
          <w:bCs/>
          <w:sz w:val="24"/>
          <w:szCs w:val="24"/>
        </w:rPr>
        <w:t>River</w:t>
      </w:r>
      <w:proofErr w:type="gramEnd"/>
      <w:r w:rsidRPr="009E6192">
        <w:rPr>
          <w:b/>
          <w:bCs/>
          <w:sz w:val="24"/>
          <w:szCs w:val="24"/>
        </w:rPr>
        <w:t xml:space="preserve"> Pines Town Hall</w:t>
      </w:r>
    </w:p>
    <w:p w14:paraId="77338C6B" w14:textId="5916B700" w:rsidR="009E6192" w:rsidRPr="009E6192" w:rsidRDefault="009E6192" w:rsidP="009E6192">
      <w:pPr>
        <w:pStyle w:val="NoSpacing"/>
        <w:rPr>
          <w:b/>
          <w:bCs/>
          <w:sz w:val="24"/>
          <w:szCs w:val="24"/>
        </w:rPr>
      </w:pPr>
      <w:r w:rsidRPr="009E6192">
        <w:rPr>
          <w:b/>
          <w:bCs/>
          <w:sz w:val="24"/>
          <w:szCs w:val="24"/>
        </w:rPr>
        <w:tab/>
      </w:r>
      <w:r w:rsidRPr="009E6192">
        <w:rPr>
          <w:b/>
          <w:bCs/>
          <w:sz w:val="24"/>
          <w:szCs w:val="24"/>
        </w:rPr>
        <w:tab/>
      </w:r>
      <w:r w:rsidRPr="009E6192">
        <w:rPr>
          <w:b/>
          <w:bCs/>
          <w:sz w:val="24"/>
          <w:szCs w:val="24"/>
        </w:rPr>
        <w:tab/>
      </w:r>
      <w:r w:rsidRPr="009E6192">
        <w:rPr>
          <w:b/>
          <w:bCs/>
          <w:sz w:val="24"/>
          <w:szCs w:val="24"/>
        </w:rPr>
        <w:tab/>
      </w:r>
      <w:r w:rsidRPr="009E6192">
        <w:rPr>
          <w:b/>
          <w:bCs/>
          <w:sz w:val="24"/>
          <w:szCs w:val="24"/>
        </w:rPr>
        <w:tab/>
      </w:r>
      <w:r w:rsidRPr="009E6192">
        <w:rPr>
          <w:b/>
          <w:bCs/>
          <w:sz w:val="24"/>
          <w:szCs w:val="24"/>
        </w:rPr>
        <w:tab/>
      </w:r>
      <w:r>
        <w:rPr>
          <w:b/>
          <w:bCs/>
          <w:sz w:val="24"/>
          <w:szCs w:val="24"/>
        </w:rPr>
        <w:t xml:space="preserve">  </w:t>
      </w:r>
      <w:r w:rsidRPr="009E6192">
        <w:rPr>
          <w:b/>
          <w:bCs/>
          <w:sz w:val="24"/>
          <w:szCs w:val="24"/>
        </w:rPr>
        <w:t>22900 Canyon Avenue, River Pines, California</w:t>
      </w:r>
    </w:p>
    <w:p w14:paraId="3A2DCF5F" w14:textId="77777777" w:rsidR="009E6192" w:rsidRDefault="009E6192" w:rsidP="009E6192">
      <w:pPr>
        <w:pStyle w:val="NoSpacing"/>
        <w:rPr>
          <w:sz w:val="24"/>
          <w:szCs w:val="24"/>
        </w:rPr>
      </w:pPr>
    </w:p>
    <w:p w14:paraId="6BB1DFD6" w14:textId="696241A9" w:rsidR="009E6192" w:rsidRDefault="009E6192" w:rsidP="009E6192">
      <w:pPr>
        <w:pStyle w:val="NoSpacing"/>
        <w:rPr>
          <w:sz w:val="24"/>
          <w:szCs w:val="24"/>
        </w:rPr>
      </w:pPr>
      <w:r>
        <w:rPr>
          <w:sz w:val="24"/>
          <w:szCs w:val="24"/>
        </w:rPr>
        <w:t xml:space="preserve">You are receiving this notice because you are a River Pines Public Utility District water or wastewater customer or own property that is receiving water or wastewater service from the </w:t>
      </w:r>
      <w:proofErr w:type="gramStart"/>
      <w:r>
        <w:rPr>
          <w:sz w:val="24"/>
          <w:szCs w:val="24"/>
        </w:rPr>
        <w:t>District</w:t>
      </w:r>
      <w:proofErr w:type="gramEnd"/>
      <w:r>
        <w:rPr>
          <w:sz w:val="24"/>
          <w:szCs w:val="24"/>
        </w:rPr>
        <w:t xml:space="preserve">.  At a public hearing to be held on Wednesday, January 15, 2025, the District will consider a proposal to adjust rates and charges for water and wastewater service.  The public hearing will be held at the River Pines Town Hall, 22900 Canyon Avenue, River Pines, California.  The hearing will start at 5:30 p.m. </w:t>
      </w:r>
    </w:p>
    <w:p w14:paraId="6B6D9E54" w14:textId="77777777" w:rsidR="009E6192" w:rsidRDefault="009E6192" w:rsidP="009E6192">
      <w:pPr>
        <w:pStyle w:val="NoSpacing"/>
        <w:rPr>
          <w:sz w:val="24"/>
          <w:szCs w:val="24"/>
        </w:rPr>
      </w:pPr>
    </w:p>
    <w:p w14:paraId="63392C99" w14:textId="12A640D1" w:rsidR="009E6192" w:rsidRDefault="009E6192" w:rsidP="009E6192">
      <w:pPr>
        <w:pStyle w:val="NoSpacing"/>
        <w:rPr>
          <w:b/>
          <w:bCs/>
          <w:sz w:val="24"/>
          <w:szCs w:val="24"/>
        </w:rPr>
      </w:pPr>
      <w:r w:rsidRPr="009E6192">
        <w:rPr>
          <w:b/>
          <w:bCs/>
          <w:sz w:val="24"/>
          <w:szCs w:val="24"/>
        </w:rPr>
        <w:t>River Pines Public Utility District Service</w:t>
      </w:r>
    </w:p>
    <w:p w14:paraId="18A82626" w14:textId="77777777" w:rsidR="009E6192" w:rsidRDefault="009E6192" w:rsidP="009E6192">
      <w:pPr>
        <w:pStyle w:val="NoSpacing"/>
        <w:rPr>
          <w:b/>
          <w:bCs/>
          <w:sz w:val="24"/>
          <w:szCs w:val="24"/>
        </w:rPr>
      </w:pPr>
    </w:p>
    <w:p w14:paraId="099557C4" w14:textId="0EBC2532" w:rsidR="009E6192" w:rsidRDefault="000544D3" w:rsidP="009E6192">
      <w:pPr>
        <w:pStyle w:val="NoSpacing"/>
        <w:rPr>
          <w:sz w:val="24"/>
          <w:szCs w:val="24"/>
        </w:rPr>
      </w:pPr>
      <w:r>
        <w:rPr>
          <w:sz w:val="24"/>
          <w:szCs w:val="24"/>
        </w:rPr>
        <w:t>The River Pines Public Utility District provides wastewater or water to about 21</w:t>
      </w:r>
      <w:r w:rsidR="00E7433A">
        <w:rPr>
          <w:sz w:val="24"/>
          <w:szCs w:val="24"/>
        </w:rPr>
        <w:t>8</w:t>
      </w:r>
      <w:r>
        <w:rPr>
          <w:sz w:val="24"/>
          <w:szCs w:val="24"/>
        </w:rPr>
        <w:t xml:space="preserve"> residential and commercial customers, totaling about 550 people.</w:t>
      </w:r>
    </w:p>
    <w:p w14:paraId="64B7DDAB" w14:textId="77777777" w:rsidR="000544D3" w:rsidRDefault="000544D3" w:rsidP="009E6192">
      <w:pPr>
        <w:pStyle w:val="NoSpacing"/>
        <w:rPr>
          <w:sz w:val="24"/>
          <w:szCs w:val="24"/>
        </w:rPr>
      </w:pPr>
    </w:p>
    <w:p w14:paraId="67673DD8" w14:textId="3B07FD0C" w:rsidR="000544D3" w:rsidRDefault="000544D3" w:rsidP="009E6192">
      <w:pPr>
        <w:pStyle w:val="NoSpacing"/>
        <w:rPr>
          <w:sz w:val="24"/>
          <w:szCs w:val="24"/>
        </w:rPr>
      </w:pPr>
      <w:r>
        <w:rPr>
          <w:sz w:val="24"/>
          <w:szCs w:val="24"/>
        </w:rPr>
        <w:t xml:space="preserve">The </w:t>
      </w:r>
      <w:proofErr w:type="gramStart"/>
      <w:r>
        <w:rPr>
          <w:sz w:val="24"/>
          <w:szCs w:val="24"/>
        </w:rPr>
        <w:t>District’s</w:t>
      </w:r>
      <w:proofErr w:type="gramEnd"/>
      <w:r>
        <w:rPr>
          <w:sz w:val="24"/>
          <w:szCs w:val="24"/>
        </w:rPr>
        <w:t xml:space="preserve"> water and wastewater system operation is funded </w:t>
      </w:r>
      <w:r w:rsidR="009E2EA7">
        <w:rPr>
          <w:sz w:val="24"/>
          <w:szCs w:val="24"/>
        </w:rPr>
        <w:t>solely</w:t>
      </w:r>
      <w:r>
        <w:rPr>
          <w:sz w:val="24"/>
          <w:szCs w:val="24"/>
        </w:rPr>
        <w:t xml:space="preserve"> through water rates and service charges.  Those revenues are used to pay for the ongoing operation, maintenance, repair, and replacement of the existing systems, including administrative costs.</w:t>
      </w:r>
    </w:p>
    <w:p w14:paraId="20F3FF13" w14:textId="77777777" w:rsidR="000544D3" w:rsidRDefault="000544D3" w:rsidP="009E6192">
      <w:pPr>
        <w:pStyle w:val="NoSpacing"/>
        <w:rPr>
          <w:sz w:val="24"/>
          <w:szCs w:val="24"/>
        </w:rPr>
      </w:pPr>
    </w:p>
    <w:p w14:paraId="0533CD53" w14:textId="7B43796E" w:rsidR="000544D3" w:rsidRDefault="000544D3" w:rsidP="009E6192">
      <w:pPr>
        <w:pStyle w:val="NoSpacing"/>
        <w:rPr>
          <w:sz w:val="24"/>
          <w:szCs w:val="24"/>
        </w:rPr>
      </w:pPr>
      <w:r>
        <w:rPr>
          <w:sz w:val="24"/>
          <w:szCs w:val="24"/>
        </w:rPr>
        <w:t xml:space="preserve">The </w:t>
      </w:r>
      <w:proofErr w:type="gramStart"/>
      <w:r>
        <w:rPr>
          <w:sz w:val="24"/>
          <w:szCs w:val="24"/>
        </w:rPr>
        <w:t>District’s</w:t>
      </w:r>
      <w:proofErr w:type="gramEnd"/>
      <w:r>
        <w:rPr>
          <w:sz w:val="24"/>
          <w:szCs w:val="24"/>
        </w:rPr>
        <w:t xml:space="preserve"> population served is much smaller than most, making individual bills higher.  In recent years, the </w:t>
      </w:r>
      <w:proofErr w:type="gramStart"/>
      <w:r>
        <w:rPr>
          <w:sz w:val="24"/>
          <w:szCs w:val="24"/>
        </w:rPr>
        <w:t>District</w:t>
      </w:r>
      <w:proofErr w:type="gramEnd"/>
      <w:r>
        <w:rPr>
          <w:sz w:val="24"/>
          <w:szCs w:val="24"/>
        </w:rPr>
        <w:t xml:space="preserve"> faced financial challenges from several causes, notably the prolonged drought that reduced revenue while increasing costs.  Despite cost reductions, including deferred maintenance and state requirements, the </w:t>
      </w:r>
      <w:proofErr w:type="gramStart"/>
      <w:r>
        <w:rPr>
          <w:sz w:val="24"/>
          <w:szCs w:val="24"/>
        </w:rPr>
        <w:t>District’s</w:t>
      </w:r>
      <w:proofErr w:type="gramEnd"/>
      <w:r>
        <w:rPr>
          <w:sz w:val="24"/>
          <w:szCs w:val="24"/>
        </w:rPr>
        <w:t xml:space="preserve"> financial reserves are depleted.  At the same time, costs for energy, treatment supplies, and much else have gone up.  And meanwhile, the </w:t>
      </w:r>
      <w:proofErr w:type="gramStart"/>
      <w:r>
        <w:rPr>
          <w:sz w:val="24"/>
          <w:szCs w:val="24"/>
        </w:rPr>
        <w:t>District’s</w:t>
      </w:r>
      <w:proofErr w:type="gramEnd"/>
      <w:r>
        <w:rPr>
          <w:sz w:val="24"/>
          <w:szCs w:val="24"/>
        </w:rPr>
        <w:t xml:space="preserve"> pipes, pumps, storage tanks, and treatment plants are very old and </w:t>
      </w:r>
      <w:r w:rsidR="001914BB">
        <w:rPr>
          <w:sz w:val="24"/>
          <w:szCs w:val="24"/>
        </w:rPr>
        <w:t>have been in need of constant repair.</w:t>
      </w:r>
    </w:p>
    <w:p w14:paraId="338EB4DE" w14:textId="77777777" w:rsidR="001914BB" w:rsidRDefault="001914BB" w:rsidP="009E6192">
      <w:pPr>
        <w:pStyle w:val="NoSpacing"/>
        <w:rPr>
          <w:sz w:val="24"/>
          <w:szCs w:val="24"/>
        </w:rPr>
      </w:pPr>
    </w:p>
    <w:p w14:paraId="76605A47" w14:textId="5B6ECC1A" w:rsidR="001914BB" w:rsidRDefault="001914BB" w:rsidP="009E6192">
      <w:pPr>
        <w:pStyle w:val="NoSpacing"/>
        <w:rPr>
          <w:sz w:val="24"/>
          <w:szCs w:val="24"/>
        </w:rPr>
      </w:pPr>
      <w:r>
        <w:rPr>
          <w:sz w:val="24"/>
          <w:szCs w:val="24"/>
        </w:rPr>
        <w:t xml:space="preserve">Continuing to hold costs down by </w:t>
      </w:r>
      <w:r w:rsidR="004B0CDA">
        <w:rPr>
          <w:sz w:val="24"/>
          <w:szCs w:val="24"/>
        </w:rPr>
        <w:t>deferring</w:t>
      </w:r>
      <w:r>
        <w:rPr>
          <w:sz w:val="24"/>
          <w:szCs w:val="24"/>
        </w:rPr>
        <w:t xml:space="preserve"> maintenance and keeping staff at a bare minimum has made the problem of aging infrastructure worse.  Much of the District’s water and wastewater system was installed in 19</w:t>
      </w:r>
      <w:r w:rsidR="00E7433A">
        <w:rPr>
          <w:sz w:val="24"/>
          <w:szCs w:val="24"/>
        </w:rPr>
        <w:t>27</w:t>
      </w:r>
      <w:r>
        <w:rPr>
          <w:sz w:val="24"/>
          <w:szCs w:val="24"/>
        </w:rPr>
        <w:t xml:space="preserve"> and 198</w:t>
      </w:r>
      <w:r w:rsidR="00E7433A">
        <w:rPr>
          <w:sz w:val="24"/>
          <w:szCs w:val="24"/>
        </w:rPr>
        <w:t>2</w:t>
      </w:r>
      <w:r>
        <w:rPr>
          <w:sz w:val="24"/>
          <w:szCs w:val="24"/>
        </w:rPr>
        <w:t xml:space="preserve"> respectively.  It has been nearly impossible to keep maintenance up with constant ongoing operation failures.  </w:t>
      </w:r>
    </w:p>
    <w:p w14:paraId="43A5238D" w14:textId="77777777" w:rsidR="00E032BA" w:rsidRDefault="00E032BA" w:rsidP="009E6192">
      <w:pPr>
        <w:pStyle w:val="NoSpacing"/>
        <w:rPr>
          <w:sz w:val="24"/>
          <w:szCs w:val="24"/>
        </w:rPr>
      </w:pPr>
    </w:p>
    <w:p w14:paraId="25908857" w14:textId="7619E729" w:rsidR="00E032BA" w:rsidRDefault="00E032BA" w:rsidP="009E6192">
      <w:pPr>
        <w:pStyle w:val="NoSpacing"/>
        <w:rPr>
          <w:sz w:val="24"/>
          <w:szCs w:val="24"/>
        </w:rPr>
      </w:pPr>
      <w:r>
        <w:rPr>
          <w:sz w:val="24"/>
          <w:szCs w:val="24"/>
        </w:rPr>
        <w:t xml:space="preserve">In 2014, there was a Rate Study completed for River Pines Public Utility District by California Rural Water Association which the State required the </w:t>
      </w:r>
      <w:proofErr w:type="gramStart"/>
      <w:r>
        <w:rPr>
          <w:sz w:val="24"/>
          <w:szCs w:val="24"/>
        </w:rPr>
        <w:t>District</w:t>
      </w:r>
      <w:proofErr w:type="gramEnd"/>
      <w:r>
        <w:rPr>
          <w:sz w:val="24"/>
          <w:szCs w:val="24"/>
        </w:rPr>
        <w:t xml:space="preserve"> to get done.  The </w:t>
      </w:r>
      <w:r>
        <w:rPr>
          <w:sz w:val="24"/>
          <w:szCs w:val="24"/>
        </w:rPr>
        <w:lastRenderedPageBreak/>
        <w:t>following chart illustrates in 2014 where the River Pines Public Utility District’s water rates should be.  This was 20 years ago.</w:t>
      </w:r>
    </w:p>
    <w:p w14:paraId="7890016A" w14:textId="77777777" w:rsidR="00E032BA" w:rsidRDefault="00E032BA" w:rsidP="009E6192">
      <w:pPr>
        <w:pStyle w:val="NoSpacing"/>
        <w:rPr>
          <w:sz w:val="24"/>
          <w:szCs w:val="24"/>
        </w:rPr>
      </w:pPr>
    </w:p>
    <w:tbl>
      <w:tblPr>
        <w:tblW w:w="0" w:type="auto"/>
        <w:tblInd w:w="101" w:type="dxa"/>
        <w:tblLayout w:type="fixed"/>
        <w:tblCellMar>
          <w:left w:w="0" w:type="dxa"/>
          <w:right w:w="0" w:type="dxa"/>
        </w:tblCellMar>
        <w:tblLook w:val="0000" w:firstRow="0" w:lastRow="0" w:firstColumn="0" w:lastColumn="0" w:noHBand="0" w:noVBand="0"/>
      </w:tblPr>
      <w:tblGrid>
        <w:gridCol w:w="852"/>
        <w:gridCol w:w="1541"/>
        <w:gridCol w:w="1361"/>
        <w:gridCol w:w="1119"/>
        <w:gridCol w:w="1131"/>
        <w:gridCol w:w="1251"/>
        <w:gridCol w:w="1140"/>
        <w:gridCol w:w="1056"/>
        <w:gridCol w:w="943"/>
      </w:tblGrid>
      <w:tr w:rsidR="00E032BA" w:rsidRPr="00E032BA" w14:paraId="690764F3" w14:textId="77777777">
        <w:tblPrEx>
          <w:tblCellMar>
            <w:top w:w="0" w:type="dxa"/>
            <w:left w:w="0" w:type="dxa"/>
            <w:bottom w:w="0" w:type="dxa"/>
            <w:right w:w="0" w:type="dxa"/>
          </w:tblCellMar>
        </w:tblPrEx>
        <w:trPr>
          <w:trHeight w:val="1282"/>
        </w:trPr>
        <w:tc>
          <w:tcPr>
            <w:tcW w:w="852" w:type="dxa"/>
            <w:tcBorders>
              <w:top w:val="none" w:sz="6" w:space="0" w:color="auto"/>
              <w:left w:val="single" w:sz="8" w:space="0" w:color="000000"/>
              <w:bottom w:val="single" w:sz="4" w:space="0" w:color="000000"/>
              <w:right w:val="none" w:sz="6" w:space="0" w:color="auto"/>
            </w:tcBorders>
          </w:tcPr>
          <w:p w14:paraId="36075D47" w14:textId="77777777" w:rsidR="00E032BA" w:rsidRPr="00E032BA" w:rsidRDefault="00E032BA" w:rsidP="00E032BA">
            <w:pPr>
              <w:kinsoku w:val="0"/>
              <w:overflowPunct w:val="0"/>
              <w:autoSpaceDE w:val="0"/>
              <w:autoSpaceDN w:val="0"/>
              <w:adjustRightInd w:val="0"/>
              <w:spacing w:after="0" w:line="240" w:lineRule="auto"/>
              <w:rPr>
                <w:rFonts w:ascii="Times New Roman" w:hAnsi="Times New Roman" w:cs="Times New Roman"/>
                <w:kern w:val="0"/>
              </w:rPr>
            </w:pPr>
          </w:p>
          <w:p w14:paraId="53923B8B" w14:textId="77777777" w:rsidR="00E032BA" w:rsidRPr="00E032BA" w:rsidRDefault="00E032BA" w:rsidP="00E032BA">
            <w:pPr>
              <w:kinsoku w:val="0"/>
              <w:overflowPunct w:val="0"/>
              <w:autoSpaceDE w:val="0"/>
              <w:autoSpaceDN w:val="0"/>
              <w:adjustRightInd w:val="0"/>
              <w:spacing w:after="0" w:line="270" w:lineRule="atLeast"/>
              <w:ind w:left="251" w:right="129" w:hanging="106"/>
              <w:rPr>
                <w:rFonts w:ascii="Calibri" w:hAnsi="Calibri" w:cs="Calibri"/>
                <w:spacing w:val="-4"/>
                <w:kern w:val="0"/>
              </w:rPr>
            </w:pPr>
            <w:r w:rsidRPr="00E032BA">
              <w:rPr>
                <w:rFonts w:ascii="Calibri" w:hAnsi="Calibri" w:cs="Calibri"/>
                <w:spacing w:val="-2"/>
                <w:kern w:val="0"/>
              </w:rPr>
              <w:t xml:space="preserve">Meter </w:t>
            </w:r>
            <w:r w:rsidRPr="00E032BA">
              <w:rPr>
                <w:rFonts w:ascii="Calibri" w:hAnsi="Calibri" w:cs="Calibri"/>
                <w:spacing w:val="-4"/>
                <w:kern w:val="0"/>
              </w:rPr>
              <w:t>Size</w:t>
            </w:r>
          </w:p>
        </w:tc>
        <w:tc>
          <w:tcPr>
            <w:tcW w:w="1541" w:type="dxa"/>
            <w:tcBorders>
              <w:top w:val="none" w:sz="6" w:space="0" w:color="auto"/>
              <w:left w:val="none" w:sz="6" w:space="0" w:color="auto"/>
              <w:bottom w:val="single" w:sz="4" w:space="0" w:color="000000"/>
              <w:right w:val="none" w:sz="6" w:space="0" w:color="auto"/>
            </w:tcBorders>
          </w:tcPr>
          <w:p w14:paraId="2C0319AA" w14:textId="77777777" w:rsidR="00E032BA" w:rsidRPr="00E032BA" w:rsidRDefault="00E032BA" w:rsidP="00E032BA">
            <w:pPr>
              <w:kinsoku w:val="0"/>
              <w:overflowPunct w:val="0"/>
              <w:autoSpaceDE w:val="0"/>
              <w:autoSpaceDN w:val="0"/>
              <w:adjustRightInd w:val="0"/>
              <w:spacing w:before="199" w:after="0" w:line="240" w:lineRule="auto"/>
              <w:rPr>
                <w:rFonts w:ascii="Times New Roman" w:hAnsi="Times New Roman" w:cs="Times New Roman"/>
                <w:kern w:val="0"/>
              </w:rPr>
            </w:pPr>
          </w:p>
          <w:p w14:paraId="0DFC6441" w14:textId="77777777" w:rsidR="00E032BA" w:rsidRPr="00E032BA" w:rsidRDefault="00E032BA" w:rsidP="00E032BA">
            <w:pPr>
              <w:kinsoku w:val="0"/>
              <w:overflowPunct w:val="0"/>
              <w:autoSpaceDE w:val="0"/>
              <w:autoSpaceDN w:val="0"/>
              <w:adjustRightInd w:val="0"/>
              <w:spacing w:after="0" w:line="270" w:lineRule="atLeast"/>
              <w:ind w:left="227" w:right="212" w:firstLine="43"/>
              <w:jc w:val="both"/>
              <w:rPr>
                <w:rFonts w:ascii="Calibri" w:hAnsi="Calibri" w:cs="Calibri"/>
                <w:kern w:val="0"/>
              </w:rPr>
            </w:pPr>
            <w:r w:rsidRPr="00E032BA">
              <w:rPr>
                <w:rFonts w:ascii="Calibri" w:hAnsi="Calibri" w:cs="Calibri"/>
                <w:spacing w:val="-2"/>
                <w:kern w:val="0"/>
              </w:rPr>
              <w:t xml:space="preserve">Theoretical </w:t>
            </w:r>
            <w:r w:rsidRPr="00E032BA">
              <w:rPr>
                <w:rFonts w:ascii="Calibri" w:hAnsi="Calibri" w:cs="Calibri"/>
                <w:kern w:val="0"/>
              </w:rPr>
              <w:t>base</w:t>
            </w:r>
            <w:r w:rsidRPr="00E032BA">
              <w:rPr>
                <w:rFonts w:ascii="Calibri" w:hAnsi="Calibri" w:cs="Calibri"/>
                <w:spacing w:val="-13"/>
                <w:kern w:val="0"/>
              </w:rPr>
              <w:t xml:space="preserve"> </w:t>
            </w:r>
            <w:r w:rsidRPr="00E032BA">
              <w:rPr>
                <w:rFonts w:ascii="Calibri" w:hAnsi="Calibri" w:cs="Calibri"/>
                <w:kern w:val="0"/>
              </w:rPr>
              <w:t>rate</w:t>
            </w:r>
            <w:r w:rsidRPr="00E032BA">
              <w:rPr>
                <w:rFonts w:ascii="Calibri" w:hAnsi="Calibri" w:cs="Calibri"/>
                <w:spacing w:val="-12"/>
                <w:kern w:val="0"/>
              </w:rPr>
              <w:t xml:space="preserve"> </w:t>
            </w:r>
            <w:r w:rsidRPr="00E032BA">
              <w:rPr>
                <w:rFonts w:ascii="Calibri" w:hAnsi="Calibri" w:cs="Calibri"/>
                <w:kern w:val="0"/>
              </w:rPr>
              <w:t>by meter size</w:t>
            </w:r>
          </w:p>
        </w:tc>
        <w:tc>
          <w:tcPr>
            <w:tcW w:w="1361" w:type="dxa"/>
            <w:tcBorders>
              <w:top w:val="none" w:sz="6" w:space="0" w:color="auto"/>
              <w:left w:val="none" w:sz="6" w:space="0" w:color="auto"/>
              <w:bottom w:val="single" w:sz="4" w:space="0" w:color="000000"/>
              <w:right w:val="none" w:sz="6" w:space="0" w:color="auto"/>
            </w:tcBorders>
          </w:tcPr>
          <w:p w14:paraId="269ECEC2" w14:textId="77777777" w:rsidR="00E032BA" w:rsidRPr="00E032BA" w:rsidRDefault="00E032BA" w:rsidP="00E032BA">
            <w:pPr>
              <w:kinsoku w:val="0"/>
              <w:overflowPunct w:val="0"/>
              <w:autoSpaceDE w:val="0"/>
              <w:autoSpaceDN w:val="0"/>
              <w:adjustRightInd w:val="0"/>
              <w:spacing w:after="0" w:line="204" w:lineRule="exact"/>
              <w:ind w:left="5" w:right="1"/>
              <w:jc w:val="center"/>
              <w:rPr>
                <w:rFonts w:ascii="Calibri" w:hAnsi="Calibri" w:cs="Calibri"/>
                <w:spacing w:val="-2"/>
                <w:kern w:val="0"/>
              </w:rPr>
            </w:pPr>
            <w:r w:rsidRPr="00E032BA">
              <w:rPr>
                <w:rFonts w:ascii="Calibri" w:hAnsi="Calibri" w:cs="Calibri"/>
                <w:spacing w:val="-2"/>
                <w:kern w:val="0"/>
              </w:rPr>
              <w:t>Proposed</w:t>
            </w:r>
          </w:p>
          <w:p w14:paraId="356EA458" w14:textId="77777777" w:rsidR="00E032BA" w:rsidRPr="00E032BA" w:rsidRDefault="00E032BA" w:rsidP="00E032BA">
            <w:pPr>
              <w:kinsoku w:val="0"/>
              <w:overflowPunct w:val="0"/>
              <w:autoSpaceDE w:val="0"/>
              <w:autoSpaceDN w:val="0"/>
              <w:adjustRightInd w:val="0"/>
              <w:spacing w:after="0" w:line="240" w:lineRule="auto"/>
              <w:ind w:left="5"/>
              <w:jc w:val="center"/>
              <w:rPr>
                <w:rFonts w:ascii="Calibri" w:hAnsi="Calibri" w:cs="Calibri"/>
                <w:kern w:val="0"/>
              </w:rPr>
            </w:pPr>
            <w:r w:rsidRPr="00E032BA">
              <w:rPr>
                <w:rFonts w:ascii="Calibri" w:hAnsi="Calibri" w:cs="Calibri"/>
                <w:kern w:val="0"/>
              </w:rPr>
              <w:t>Base Rate as</w:t>
            </w:r>
          </w:p>
          <w:p w14:paraId="70A3A2D3" w14:textId="77777777" w:rsidR="00E032BA" w:rsidRPr="00E032BA" w:rsidRDefault="00E032BA" w:rsidP="00E032BA">
            <w:pPr>
              <w:kinsoku w:val="0"/>
              <w:overflowPunct w:val="0"/>
              <w:autoSpaceDE w:val="0"/>
              <w:autoSpaceDN w:val="0"/>
              <w:adjustRightInd w:val="0"/>
              <w:spacing w:after="0" w:line="270" w:lineRule="atLeast"/>
              <w:ind w:left="177" w:right="170" w:firstLine="1"/>
              <w:jc w:val="center"/>
              <w:rPr>
                <w:rFonts w:ascii="Calibri" w:hAnsi="Calibri" w:cs="Calibri"/>
                <w:kern w:val="0"/>
              </w:rPr>
            </w:pPr>
            <w:r w:rsidRPr="00E032BA">
              <w:rPr>
                <w:rFonts w:ascii="Calibri" w:hAnsi="Calibri" w:cs="Calibri"/>
                <w:kern w:val="0"/>
              </w:rPr>
              <w:t xml:space="preserve">% of </w:t>
            </w:r>
            <w:r w:rsidRPr="00E032BA">
              <w:rPr>
                <w:rFonts w:ascii="Calibri" w:hAnsi="Calibri" w:cs="Calibri"/>
                <w:spacing w:val="-2"/>
                <w:kern w:val="0"/>
              </w:rPr>
              <w:t xml:space="preserve">Theoretical </w:t>
            </w:r>
            <w:r w:rsidRPr="00E032BA">
              <w:rPr>
                <w:rFonts w:ascii="Calibri" w:hAnsi="Calibri" w:cs="Calibri"/>
                <w:kern w:val="0"/>
              </w:rPr>
              <w:t>Base Rate</w:t>
            </w:r>
          </w:p>
        </w:tc>
        <w:tc>
          <w:tcPr>
            <w:tcW w:w="1119" w:type="dxa"/>
            <w:tcBorders>
              <w:top w:val="none" w:sz="6" w:space="0" w:color="auto"/>
              <w:left w:val="none" w:sz="6" w:space="0" w:color="auto"/>
              <w:bottom w:val="single" w:sz="4" w:space="0" w:color="000000"/>
              <w:right w:val="none" w:sz="6" w:space="0" w:color="auto"/>
            </w:tcBorders>
          </w:tcPr>
          <w:p w14:paraId="50AA7735" w14:textId="77777777" w:rsidR="00E032BA" w:rsidRPr="00E032BA" w:rsidRDefault="00E032BA" w:rsidP="00E032BA">
            <w:pPr>
              <w:kinsoku w:val="0"/>
              <w:overflowPunct w:val="0"/>
              <w:autoSpaceDE w:val="0"/>
              <w:autoSpaceDN w:val="0"/>
              <w:adjustRightInd w:val="0"/>
              <w:spacing w:after="0" w:line="240" w:lineRule="auto"/>
              <w:rPr>
                <w:rFonts w:ascii="Times New Roman" w:hAnsi="Times New Roman" w:cs="Times New Roman"/>
                <w:kern w:val="0"/>
              </w:rPr>
            </w:pPr>
          </w:p>
          <w:p w14:paraId="36ABFE27" w14:textId="77777777" w:rsidR="00E032BA" w:rsidRPr="00E032BA" w:rsidRDefault="00E032BA" w:rsidP="00E032BA">
            <w:pPr>
              <w:kinsoku w:val="0"/>
              <w:overflowPunct w:val="0"/>
              <w:autoSpaceDE w:val="0"/>
              <w:autoSpaceDN w:val="0"/>
              <w:adjustRightInd w:val="0"/>
              <w:spacing w:after="0" w:line="270" w:lineRule="atLeast"/>
              <w:ind w:left="122" w:right="111" w:firstLine="98"/>
              <w:rPr>
                <w:rFonts w:ascii="Calibri" w:hAnsi="Calibri" w:cs="Calibri"/>
                <w:kern w:val="0"/>
              </w:rPr>
            </w:pPr>
            <w:r w:rsidRPr="00E032BA">
              <w:rPr>
                <w:rFonts w:ascii="Calibri" w:hAnsi="Calibri" w:cs="Calibri"/>
                <w:spacing w:val="-2"/>
                <w:kern w:val="0"/>
              </w:rPr>
              <w:t xml:space="preserve">Existing </w:t>
            </w:r>
            <w:r w:rsidRPr="00E032BA">
              <w:rPr>
                <w:rFonts w:ascii="Calibri" w:hAnsi="Calibri" w:cs="Calibri"/>
                <w:kern w:val="0"/>
              </w:rPr>
              <w:t>Base</w:t>
            </w:r>
            <w:r w:rsidRPr="00E032BA">
              <w:rPr>
                <w:rFonts w:ascii="Calibri" w:hAnsi="Calibri" w:cs="Calibri"/>
                <w:spacing w:val="-13"/>
                <w:kern w:val="0"/>
              </w:rPr>
              <w:t xml:space="preserve"> </w:t>
            </w:r>
            <w:r w:rsidRPr="00E032BA">
              <w:rPr>
                <w:rFonts w:ascii="Calibri" w:hAnsi="Calibri" w:cs="Calibri"/>
                <w:kern w:val="0"/>
              </w:rPr>
              <w:t>Rate</w:t>
            </w:r>
          </w:p>
        </w:tc>
        <w:tc>
          <w:tcPr>
            <w:tcW w:w="1131" w:type="dxa"/>
            <w:tcBorders>
              <w:top w:val="none" w:sz="6" w:space="0" w:color="auto"/>
              <w:left w:val="none" w:sz="6" w:space="0" w:color="auto"/>
              <w:bottom w:val="single" w:sz="4" w:space="0" w:color="000000"/>
              <w:right w:val="none" w:sz="6" w:space="0" w:color="auto"/>
            </w:tcBorders>
          </w:tcPr>
          <w:p w14:paraId="7F41E618" w14:textId="77777777" w:rsidR="00E032BA" w:rsidRPr="00E032BA" w:rsidRDefault="00E032BA" w:rsidP="00E032BA">
            <w:pPr>
              <w:kinsoku w:val="0"/>
              <w:overflowPunct w:val="0"/>
              <w:autoSpaceDE w:val="0"/>
              <w:autoSpaceDN w:val="0"/>
              <w:adjustRightInd w:val="0"/>
              <w:spacing w:before="182" w:after="0" w:line="270" w:lineRule="atLeast"/>
              <w:ind w:left="146" w:right="131"/>
              <w:jc w:val="center"/>
              <w:rPr>
                <w:rFonts w:ascii="Calibri" w:hAnsi="Calibri" w:cs="Calibri"/>
                <w:kern w:val="0"/>
              </w:rPr>
            </w:pPr>
            <w:r w:rsidRPr="00E032BA">
              <w:rPr>
                <w:rFonts w:ascii="Calibri" w:hAnsi="Calibri" w:cs="Calibri"/>
                <w:spacing w:val="-2"/>
                <w:kern w:val="0"/>
              </w:rPr>
              <w:t xml:space="preserve">Proposed </w:t>
            </w:r>
            <w:r w:rsidRPr="00E032BA">
              <w:rPr>
                <w:rFonts w:ascii="Calibri" w:hAnsi="Calibri" w:cs="Calibri"/>
                <w:spacing w:val="-4"/>
                <w:kern w:val="0"/>
              </w:rPr>
              <w:t xml:space="preserve">Base </w:t>
            </w:r>
            <w:r w:rsidRPr="00E032BA">
              <w:rPr>
                <w:rFonts w:ascii="Calibri" w:hAnsi="Calibri" w:cs="Calibri"/>
                <w:kern w:val="0"/>
              </w:rPr>
              <w:t>Rate</w:t>
            </w:r>
            <w:r w:rsidRPr="00E032BA">
              <w:rPr>
                <w:rFonts w:ascii="Calibri" w:hAnsi="Calibri" w:cs="Calibri"/>
                <w:kern w:val="0"/>
                <w:vertAlign w:val="superscript"/>
              </w:rPr>
              <w:t>3</w:t>
            </w:r>
            <w:r w:rsidRPr="00E032BA">
              <w:rPr>
                <w:rFonts w:ascii="Calibri" w:hAnsi="Calibri" w:cs="Calibri"/>
                <w:kern w:val="0"/>
              </w:rPr>
              <w:t xml:space="preserve"> for Year 1</w:t>
            </w:r>
          </w:p>
        </w:tc>
        <w:tc>
          <w:tcPr>
            <w:tcW w:w="1251" w:type="dxa"/>
            <w:tcBorders>
              <w:top w:val="none" w:sz="6" w:space="0" w:color="auto"/>
              <w:left w:val="none" w:sz="6" w:space="0" w:color="auto"/>
              <w:bottom w:val="single" w:sz="4" w:space="0" w:color="000000"/>
              <w:right w:val="none" w:sz="6" w:space="0" w:color="auto"/>
            </w:tcBorders>
          </w:tcPr>
          <w:p w14:paraId="1E25354F" w14:textId="77777777" w:rsidR="00E032BA" w:rsidRPr="00E032BA" w:rsidRDefault="00E032BA" w:rsidP="00E032BA">
            <w:pPr>
              <w:kinsoku w:val="0"/>
              <w:overflowPunct w:val="0"/>
              <w:autoSpaceDE w:val="0"/>
              <w:autoSpaceDN w:val="0"/>
              <w:adjustRightInd w:val="0"/>
              <w:spacing w:after="0" w:line="240" w:lineRule="auto"/>
              <w:rPr>
                <w:rFonts w:ascii="Times New Roman" w:hAnsi="Times New Roman" w:cs="Times New Roman"/>
                <w:kern w:val="0"/>
              </w:rPr>
            </w:pPr>
          </w:p>
          <w:p w14:paraId="147AE4A7" w14:textId="77777777" w:rsidR="00E032BA" w:rsidRPr="00E032BA" w:rsidRDefault="00E032BA" w:rsidP="00E032BA">
            <w:pPr>
              <w:kinsoku w:val="0"/>
              <w:overflowPunct w:val="0"/>
              <w:autoSpaceDE w:val="0"/>
              <w:autoSpaceDN w:val="0"/>
              <w:adjustRightInd w:val="0"/>
              <w:spacing w:after="0" w:line="252" w:lineRule="exact"/>
              <w:ind w:left="299"/>
              <w:rPr>
                <w:rFonts w:ascii="Calibri" w:hAnsi="Calibri" w:cs="Calibri"/>
                <w:kern w:val="0"/>
              </w:rPr>
            </w:pPr>
            <w:r w:rsidRPr="00E032BA">
              <w:rPr>
                <w:rFonts w:ascii="Calibri" w:hAnsi="Calibri" w:cs="Calibri"/>
                <w:kern w:val="0"/>
              </w:rPr>
              <w:t>Year 2</w:t>
            </w:r>
          </w:p>
        </w:tc>
        <w:tc>
          <w:tcPr>
            <w:tcW w:w="1140" w:type="dxa"/>
            <w:tcBorders>
              <w:top w:val="none" w:sz="6" w:space="0" w:color="auto"/>
              <w:left w:val="none" w:sz="6" w:space="0" w:color="auto"/>
              <w:bottom w:val="single" w:sz="4" w:space="0" w:color="000000"/>
              <w:right w:val="none" w:sz="6" w:space="0" w:color="auto"/>
            </w:tcBorders>
          </w:tcPr>
          <w:p w14:paraId="49A2A30C" w14:textId="77777777" w:rsidR="00E032BA" w:rsidRPr="00E032BA" w:rsidRDefault="00E032BA" w:rsidP="00E032BA">
            <w:pPr>
              <w:kinsoku w:val="0"/>
              <w:overflowPunct w:val="0"/>
              <w:autoSpaceDE w:val="0"/>
              <w:autoSpaceDN w:val="0"/>
              <w:adjustRightInd w:val="0"/>
              <w:spacing w:after="0" w:line="240" w:lineRule="auto"/>
              <w:rPr>
                <w:rFonts w:ascii="Times New Roman" w:hAnsi="Times New Roman" w:cs="Times New Roman"/>
                <w:kern w:val="0"/>
              </w:rPr>
            </w:pPr>
          </w:p>
          <w:p w14:paraId="7F55EF07" w14:textId="77777777" w:rsidR="00E032BA" w:rsidRPr="00E032BA" w:rsidRDefault="00E032BA" w:rsidP="00E032BA">
            <w:pPr>
              <w:kinsoku w:val="0"/>
              <w:overflowPunct w:val="0"/>
              <w:autoSpaceDE w:val="0"/>
              <w:autoSpaceDN w:val="0"/>
              <w:adjustRightInd w:val="0"/>
              <w:spacing w:after="0" w:line="252" w:lineRule="exact"/>
              <w:ind w:left="222"/>
              <w:rPr>
                <w:rFonts w:ascii="Calibri" w:hAnsi="Calibri" w:cs="Calibri"/>
                <w:kern w:val="0"/>
              </w:rPr>
            </w:pPr>
            <w:r w:rsidRPr="00E032BA">
              <w:rPr>
                <w:rFonts w:ascii="Calibri" w:hAnsi="Calibri" w:cs="Calibri"/>
                <w:kern w:val="0"/>
              </w:rPr>
              <w:t>Year 3</w:t>
            </w:r>
          </w:p>
        </w:tc>
        <w:tc>
          <w:tcPr>
            <w:tcW w:w="1056" w:type="dxa"/>
            <w:tcBorders>
              <w:top w:val="none" w:sz="6" w:space="0" w:color="auto"/>
              <w:left w:val="none" w:sz="6" w:space="0" w:color="auto"/>
              <w:bottom w:val="single" w:sz="4" w:space="0" w:color="000000"/>
              <w:right w:val="none" w:sz="6" w:space="0" w:color="auto"/>
            </w:tcBorders>
          </w:tcPr>
          <w:p w14:paraId="1EBFE06C" w14:textId="77777777" w:rsidR="00E032BA" w:rsidRPr="00E032BA" w:rsidRDefault="00E032BA" w:rsidP="00E032BA">
            <w:pPr>
              <w:kinsoku w:val="0"/>
              <w:overflowPunct w:val="0"/>
              <w:autoSpaceDE w:val="0"/>
              <w:autoSpaceDN w:val="0"/>
              <w:adjustRightInd w:val="0"/>
              <w:spacing w:after="0" w:line="240" w:lineRule="auto"/>
              <w:rPr>
                <w:rFonts w:ascii="Times New Roman" w:hAnsi="Times New Roman" w:cs="Times New Roman"/>
                <w:kern w:val="0"/>
              </w:rPr>
            </w:pPr>
          </w:p>
          <w:p w14:paraId="421152E5" w14:textId="77777777" w:rsidR="00E032BA" w:rsidRPr="00E032BA" w:rsidRDefault="00E032BA" w:rsidP="00E032BA">
            <w:pPr>
              <w:kinsoku w:val="0"/>
              <w:overflowPunct w:val="0"/>
              <w:autoSpaceDE w:val="0"/>
              <w:autoSpaceDN w:val="0"/>
              <w:adjustRightInd w:val="0"/>
              <w:spacing w:after="0" w:line="252" w:lineRule="exact"/>
              <w:ind w:left="205"/>
              <w:rPr>
                <w:rFonts w:ascii="Calibri" w:hAnsi="Calibri" w:cs="Calibri"/>
                <w:kern w:val="0"/>
              </w:rPr>
            </w:pPr>
            <w:r w:rsidRPr="00E032BA">
              <w:rPr>
                <w:rFonts w:ascii="Calibri" w:hAnsi="Calibri" w:cs="Calibri"/>
                <w:kern w:val="0"/>
              </w:rPr>
              <w:t>Year 4</w:t>
            </w:r>
          </w:p>
        </w:tc>
        <w:tc>
          <w:tcPr>
            <w:tcW w:w="943" w:type="dxa"/>
            <w:tcBorders>
              <w:top w:val="none" w:sz="6" w:space="0" w:color="auto"/>
              <w:left w:val="none" w:sz="6" w:space="0" w:color="auto"/>
              <w:bottom w:val="single" w:sz="4" w:space="0" w:color="000000"/>
              <w:right w:val="single" w:sz="8" w:space="0" w:color="000000"/>
            </w:tcBorders>
          </w:tcPr>
          <w:p w14:paraId="2DA5F5DB" w14:textId="77777777" w:rsidR="00E032BA" w:rsidRPr="00E032BA" w:rsidRDefault="00E032BA" w:rsidP="00E032BA">
            <w:pPr>
              <w:kinsoku w:val="0"/>
              <w:overflowPunct w:val="0"/>
              <w:autoSpaceDE w:val="0"/>
              <w:autoSpaceDN w:val="0"/>
              <w:adjustRightInd w:val="0"/>
              <w:spacing w:after="0" w:line="240" w:lineRule="auto"/>
              <w:rPr>
                <w:rFonts w:ascii="Times New Roman" w:hAnsi="Times New Roman" w:cs="Times New Roman"/>
                <w:kern w:val="0"/>
              </w:rPr>
            </w:pPr>
          </w:p>
          <w:p w14:paraId="52D5A428" w14:textId="77777777" w:rsidR="00E032BA" w:rsidRPr="00E032BA" w:rsidRDefault="00E032BA" w:rsidP="00E032BA">
            <w:pPr>
              <w:kinsoku w:val="0"/>
              <w:overflowPunct w:val="0"/>
              <w:autoSpaceDE w:val="0"/>
              <w:autoSpaceDN w:val="0"/>
              <w:adjustRightInd w:val="0"/>
              <w:spacing w:after="0" w:line="252" w:lineRule="exact"/>
              <w:ind w:left="194"/>
              <w:rPr>
                <w:rFonts w:ascii="Calibri" w:hAnsi="Calibri" w:cs="Calibri"/>
                <w:kern w:val="0"/>
              </w:rPr>
            </w:pPr>
            <w:r w:rsidRPr="00E032BA">
              <w:rPr>
                <w:rFonts w:ascii="Calibri" w:hAnsi="Calibri" w:cs="Calibri"/>
                <w:kern w:val="0"/>
              </w:rPr>
              <w:t>Year 5</w:t>
            </w:r>
          </w:p>
        </w:tc>
      </w:tr>
      <w:tr w:rsidR="00E032BA" w:rsidRPr="00E032BA" w14:paraId="5697AA94" w14:textId="77777777">
        <w:tblPrEx>
          <w:tblCellMar>
            <w:top w:w="0" w:type="dxa"/>
            <w:left w:w="0" w:type="dxa"/>
            <w:bottom w:w="0" w:type="dxa"/>
            <w:right w:w="0" w:type="dxa"/>
          </w:tblCellMar>
        </w:tblPrEx>
        <w:trPr>
          <w:trHeight w:val="568"/>
        </w:trPr>
        <w:tc>
          <w:tcPr>
            <w:tcW w:w="6004" w:type="dxa"/>
            <w:gridSpan w:val="5"/>
            <w:tcBorders>
              <w:top w:val="single" w:sz="4" w:space="0" w:color="000000"/>
              <w:left w:val="single" w:sz="8" w:space="0" w:color="000000"/>
              <w:bottom w:val="single" w:sz="4" w:space="0" w:color="000000"/>
              <w:right w:val="none" w:sz="6" w:space="0" w:color="auto"/>
            </w:tcBorders>
          </w:tcPr>
          <w:p w14:paraId="5BB8B6FC" w14:textId="65A5D8DA" w:rsidR="00E032BA" w:rsidRPr="00E032BA" w:rsidRDefault="00E032BA" w:rsidP="00E032BA">
            <w:pPr>
              <w:kinsoku w:val="0"/>
              <w:overflowPunct w:val="0"/>
              <w:autoSpaceDE w:val="0"/>
              <w:autoSpaceDN w:val="0"/>
              <w:adjustRightInd w:val="0"/>
              <w:spacing w:after="0" w:line="240" w:lineRule="auto"/>
              <w:rPr>
                <w:rFonts w:ascii="Times New Roman" w:hAnsi="Times New Roman" w:cs="Times New Roman"/>
                <w:kern w:val="0"/>
                <w:sz w:val="20"/>
                <w:szCs w:val="20"/>
              </w:rPr>
            </w:pPr>
            <w:r w:rsidRPr="00E032BA">
              <w:rPr>
                <w:rFonts w:ascii="Times New Roman" w:hAnsi="Times New Roman" w:cs="Times New Roman"/>
                <w:noProof/>
                <w:kern w:val="0"/>
                <w:sz w:val="20"/>
                <w:szCs w:val="20"/>
              </w:rPr>
              <mc:AlternateContent>
                <mc:Choice Requires="wpg">
                  <w:drawing>
                    <wp:inline distT="0" distB="0" distL="0" distR="0" wp14:anchorId="365252EB" wp14:editId="2815C150">
                      <wp:extent cx="1878330" cy="144780"/>
                      <wp:effectExtent l="9525" t="19050" r="7620" b="17145"/>
                      <wp:docPr id="16230002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330" cy="144780"/>
                                <a:chOff x="0" y="0"/>
                                <a:chExt cx="2958" cy="228"/>
                              </a:xfrm>
                            </wpg:grpSpPr>
                            <wps:wsp>
                              <wps:cNvPr id="155084544" name="Freeform 3"/>
                              <wps:cNvSpPr>
                                <a:spLocks/>
                              </wps:cNvSpPr>
                              <wps:spPr bwMode="auto">
                                <a:xfrm>
                                  <a:off x="8" y="8"/>
                                  <a:ext cx="2940" cy="210"/>
                                </a:xfrm>
                                <a:custGeom>
                                  <a:avLst/>
                                  <a:gdLst>
                                    <a:gd name="T0" fmla="*/ 2835 w 2940"/>
                                    <a:gd name="T1" fmla="*/ 0 h 210"/>
                                    <a:gd name="T2" fmla="*/ 2835 w 2940"/>
                                    <a:gd name="T3" fmla="*/ 52 h 210"/>
                                    <a:gd name="T4" fmla="*/ 0 w 2940"/>
                                    <a:gd name="T5" fmla="*/ 52 h 210"/>
                                    <a:gd name="T6" fmla="*/ 0 w 2940"/>
                                    <a:gd name="T7" fmla="*/ 157 h 210"/>
                                    <a:gd name="T8" fmla="*/ 2835 w 2940"/>
                                    <a:gd name="T9" fmla="*/ 157 h 210"/>
                                    <a:gd name="T10" fmla="*/ 2835 w 2940"/>
                                    <a:gd name="T11" fmla="*/ 210 h 210"/>
                                    <a:gd name="T12" fmla="*/ 2940 w 2940"/>
                                    <a:gd name="T13" fmla="*/ 105 h 210"/>
                                    <a:gd name="T14" fmla="*/ 2835 w 2940"/>
                                    <a:gd name="T15" fmla="*/ 0 h 2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0" h="210">
                                      <a:moveTo>
                                        <a:pt x="2835" y="0"/>
                                      </a:moveTo>
                                      <a:lnTo>
                                        <a:pt x="2835" y="52"/>
                                      </a:lnTo>
                                      <a:lnTo>
                                        <a:pt x="0" y="52"/>
                                      </a:lnTo>
                                      <a:lnTo>
                                        <a:pt x="0" y="157"/>
                                      </a:lnTo>
                                      <a:lnTo>
                                        <a:pt x="2835" y="157"/>
                                      </a:lnTo>
                                      <a:lnTo>
                                        <a:pt x="2835" y="210"/>
                                      </a:lnTo>
                                      <a:lnTo>
                                        <a:pt x="2940" y="105"/>
                                      </a:lnTo>
                                      <a:lnTo>
                                        <a:pt x="2835" y="0"/>
                                      </a:lnTo>
                                      <a:close/>
                                    </a:path>
                                  </a:pathLst>
                                </a:custGeom>
                                <a:solidFill>
                                  <a:srgbClr val="A9A4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0298830" name="Freeform 4"/>
                              <wps:cNvSpPr>
                                <a:spLocks/>
                              </wps:cNvSpPr>
                              <wps:spPr bwMode="auto">
                                <a:xfrm>
                                  <a:off x="8" y="8"/>
                                  <a:ext cx="2940" cy="210"/>
                                </a:xfrm>
                                <a:custGeom>
                                  <a:avLst/>
                                  <a:gdLst>
                                    <a:gd name="T0" fmla="*/ 0 w 2940"/>
                                    <a:gd name="T1" fmla="*/ 52 h 210"/>
                                    <a:gd name="T2" fmla="*/ 2835 w 2940"/>
                                    <a:gd name="T3" fmla="*/ 52 h 210"/>
                                    <a:gd name="T4" fmla="*/ 2835 w 2940"/>
                                    <a:gd name="T5" fmla="*/ 0 h 210"/>
                                    <a:gd name="T6" fmla="*/ 2940 w 2940"/>
                                    <a:gd name="T7" fmla="*/ 105 h 210"/>
                                    <a:gd name="T8" fmla="*/ 2835 w 2940"/>
                                    <a:gd name="T9" fmla="*/ 210 h 210"/>
                                    <a:gd name="T10" fmla="*/ 2835 w 2940"/>
                                    <a:gd name="T11" fmla="*/ 157 h 210"/>
                                    <a:gd name="T12" fmla="*/ 0 w 2940"/>
                                    <a:gd name="T13" fmla="*/ 157 h 210"/>
                                    <a:gd name="T14" fmla="*/ 0 w 2940"/>
                                    <a:gd name="T15" fmla="*/ 52 h 2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40" h="210">
                                      <a:moveTo>
                                        <a:pt x="0" y="52"/>
                                      </a:moveTo>
                                      <a:lnTo>
                                        <a:pt x="2835" y="52"/>
                                      </a:lnTo>
                                      <a:lnTo>
                                        <a:pt x="2835" y="0"/>
                                      </a:lnTo>
                                      <a:lnTo>
                                        <a:pt x="2940" y="105"/>
                                      </a:lnTo>
                                      <a:lnTo>
                                        <a:pt x="2835" y="210"/>
                                      </a:lnTo>
                                      <a:lnTo>
                                        <a:pt x="2835" y="157"/>
                                      </a:lnTo>
                                      <a:lnTo>
                                        <a:pt x="0" y="157"/>
                                      </a:lnTo>
                                      <a:lnTo>
                                        <a:pt x="0" y="52"/>
                                      </a:lnTo>
                                      <a:close/>
                                    </a:path>
                                  </a:pathLst>
                                </a:custGeom>
                                <a:noFill/>
                                <a:ln w="11428">
                                  <a:solidFill>
                                    <a:srgbClr val="7A7858"/>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F4CE87" id="Group 1" o:spid="_x0000_s1026" style="width:147.9pt;height:11.4pt;mso-position-horizontal-relative:char;mso-position-vertical-relative:line" coordsize="295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">
                      <v:shape id="Freeform 3" o:spid="_x0000_s1027" style="position:absolute;left:8;top:8;width:2940;height:210;visibility:visible;mso-wrap-style:square;v-text-anchor:top" coordsize="29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" path="m2835,r,52l,52,,157r2835,l2835,210,2940,105,2835,xe" fillcolor="#a9a47b" stroked="f">
                        <v:path arrowok="t" o:connecttype="custom" o:connectlocs="2835,0;2835,52;0,52;0,157;2835,157;2835,210;2940,105;2835,0" o:connectangles="0,0,0,0,0,0,0,0"/>
                      </v:shape>
                      <v:shape id="Freeform 4" o:spid="_x0000_s1028" style="position:absolute;left:8;top:8;width:2940;height:210;visibility:visible;mso-wrap-style:square;v-text-anchor:top" coordsize="29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" path="m,52r2835,l2835,r105,105l2835,210r,-53l,157,,52xe" filled="f" strokecolor="#7a7858" strokeweight=".31744mm">
                        <v:stroke dashstyle="3 1"/>
                        <v:path arrowok="t" o:connecttype="custom" o:connectlocs="0,52;2835,52;2835,0;2940,105;2835,210;2835,157;0,157;0,52" o:connectangles="0,0,0,0,0,0,0,0"/>
                      </v:shape>
                      <w10:anchorlock/>
                    </v:group>
                  </w:pict>
                </mc:Fallback>
              </mc:AlternateContent>
            </w:r>
          </w:p>
          <w:p w14:paraId="5850D349" w14:textId="77777777" w:rsidR="00E032BA" w:rsidRPr="00E032BA" w:rsidRDefault="00E032BA" w:rsidP="00E032BA">
            <w:pPr>
              <w:kinsoku w:val="0"/>
              <w:overflowPunct w:val="0"/>
              <w:autoSpaceDE w:val="0"/>
              <w:autoSpaceDN w:val="0"/>
              <w:adjustRightInd w:val="0"/>
              <w:spacing w:before="8" w:after="0" w:line="270" w:lineRule="atLeast"/>
              <w:ind w:left="959" w:right="4279"/>
              <w:rPr>
                <w:rFonts w:ascii="Calibri" w:hAnsi="Calibri" w:cs="Calibri"/>
                <w:spacing w:val="-2"/>
                <w:kern w:val="0"/>
              </w:rPr>
            </w:pPr>
            <w:r w:rsidRPr="00E032BA">
              <w:rPr>
                <w:rFonts w:ascii="Calibri" w:hAnsi="Calibri" w:cs="Calibri"/>
                <w:spacing w:val="-2"/>
                <w:kern w:val="0"/>
              </w:rPr>
              <w:t>Annual Increase</w:t>
            </w:r>
          </w:p>
        </w:tc>
        <w:tc>
          <w:tcPr>
            <w:tcW w:w="1251" w:type="dxa"/>
            <w:tcBorders>
              <w:top w:val="single" w:sz="4" w:space="0" w:color="000000"/>
              <w:left w:val="none" w:sz="6" w:space="0" w:color="auto"/>
              <w:bottom w:val="single" w:sz="4" w:space="0" w:color="000000"/>
              <w:right w:val="none" w:sz="6" w:space="0" w:color="auto"/>
            </w:tcBorders>
            <w:shd w:val="clear" w:color="auto" w:fill="FFFF00"/>
          </w:tcPr>
          <w:p w14:paraId="2FC68D62" w14:textId="77777777" w:rsidR="00E032BA" w:rsidRPr="00E032BA" w:rsidRDefault="00E032BA" w:rsidP="00E032BA">
            <w:pPr>
              <w:kinsoku w:val="0"/>
              <w:overflowPunct w:val="0"/>
              <w:autoSpaceDE w:val="0"/>
              <w:autoSpaceDN w:val="0"/>
              <w:adjustRightInd w:val="0"/>
              <w:spacing w:before="43" w:after="0" w:line="240" w:lineRule="auto"/>
              <w:rPr>
                <w:rFonts w:ascii="Times New Roman" w:hAnsi="Times New Roman" w:cs="Times New Roman"/>
                <w:kern w:val="0"/>
              </w:rPr>
            </w:pPr>
          </w:p>
          <w:p w14:paraId="6F2AB7B9" w14:textId="77777777" w:rsidR="00E032BA" w:rsidRPr="00E032BA" w:rsidRDefault="00E032BA" w:rsidP="00E032BA">
            <w:pPr>
              <w:kinsoku w:val="0"/>
              <w:overflowPunct w:val="0"/>
              <w:autoSpaceDE w:val="0"/>
              <w:autoSpaceDN w:val="0"/>
              <w:adjustRightInd w:val="0"/>
              <w:spacing w:after="0" w:line="252" w:lineRule="exact"/>
              <w:ind w:left="361"/>
              <w:rPr>
                <w:rFonts w:ascii="Calibri" w:hAnsi="Calibri" w:cs="Calibri"/>
                <w:spacing w:val="-4"/>
                <w:kern w:val="0"/>
              </w:rPr>
            </w:pPr>
            <w:r w:rsidRPr="00E032BA">
              <w:rPr>
                <w:rFonts w:ascii="Calibri" w:hAnsi="Calibri" w:cs="Calibri"/>
                <w:spacing w:val="-4"/>
                <w:kern w:val="0"/>
              </w:rPr>
              <w:t>8.0%</w:t>
            </w:r>
          </w:p>
        </w:tc>
        <w:tc>
          <w:tcPr>
            <w:tcW w:w="1140" w:type="dxa"/>
            <w:tcBorders>
              <w:top w:val="single" w:sz="4" w:space="0" w:color="000000"/>
              <w:left w:val="none" w:sz="6" w:space="0" w:color="auto"/>
              <w:bottom w:val="single" w:sz="4" w:space="0" w:color="000000"/>
              <w:right w:val="none" w:sz="6" w:space="0" w:color="auto"/>
            </w:tcBorders>
            <w:shd w:val="clear" w:color="auto" w:fill="FFFF00"/>
          </w:tcPr>
          <w:p w14:paraId="54D72D37" w14:textId="77777777" w:rsidR="00E032BA" w:rsidRPr="00E032BA" w:rsidRDefault="00E032BA" w:rsidP="00E032BA">
            <w:pPr>
              <w:kinsoku w:val="0"/>
              <w:overflowPunct w:val="0"/>
              <w:autoSpaceDE w:val="0"/>
              <w:autoSpaceDN w:val="0"/>
              <w:adjustRightInd w:val="0"/>
              <w:spacing w:before="43" w:after="0" w:line="240" w:lineRule="auto"/>
              <w:rPr>
                <w:rFonts w:ascii="Times New Roman" w:hAnsi="Times New Roman" w:cs="Times New Roman"/>
                <w:kern w:val="0"/>
              </w:rPr>
            </w:pPr>
          </w:p>
          <w:p w14:paraId="5DEE7E4E" w14:textId="77777777" w:rsidR="00E032BA" w:rsidRPr="00E032BA" w:rsidRDefault="00E032BA" w:rsidP="00E032BA">
            <w:pPr>
              <w:kinsoku w:val="0"/>
              <w:overflowPunct w:val="0"/>
              <w:autoSpaceDE w:val="0"/>
              <w:autoSpaceDN w:val="0"/>
              <w:adjustRightInd w:val="0"/>
              <w:spacing w:after="0" w:line="252" w:lineRule="exact"/>
              <w:ind w:left="260"/>
              <w:rPr>
                <w:rFonts w:ascii="Calibri" w:hAnsi="Calibri" w:cs="Calibri"/>
                <w:spacing w:val="-4"/>
                <w:kern w:val="0"/>
              </w:rPr>
            </w:pPr>
            <w:r w:rsidRPr="00E032BA">
              <w:rPr>
                <w:rFonts w:ascii="Calibri" w:hAnsi="Calibri" w:cs="Calibri"/>
                <w:spacing w:val="-4"/>
                <w:kern w:val="0"/>
              </w:rPr>
              <w:t>8.0%</w:t>
            </w:r>
          </w:p>
        </w:tc>
        <w:tc>
          <w:tcPr>
            <w:tcW w:w="1056" w:type="dxa"/>
            <w:tcBorders>
              <w:top w:val="single" w:sz="4" w:space="0" w:color="000000"/>
              <w:left w:val="none" w:sz="6" w:space="0" w:color="auto"/>
              <w:bottom w:val="single" w:sz="4" w:space="0" w:color="000000"/>
              <w:right w:val="none" w:sz="6" w:space="0" w:color="auto"/>
            </w:tcBorders>
            <w:shd w:val="clear" w:color="auto" w:fill="FFFF00"/>
          </w:tcPr>
          <w:p w14:paraId="217062AF" w14:textId="77777777" w:rsidR="00E032BA" w:rsidRPr="00E032BA" w:rsidRDefault="00E032BA" w:rsidP="00E032BA">
            <w:pPr>
              <w:kinsoku w:val="0"/>
              <w:overflowPunct w:val="0"/>
              <w:autoSpaceDE w:val="0"/>
              <w:autoSpaceDN w:val="0"/>
              <w:adjustRightInd w:val="0"/>
              <w:spacing w:before="43" w:after="0" w:line="240" w:lineRule="auto"/>
              <w:rPr>
                <w:rFonts w:ascii="Times New Roman" w:hAnsi="Times New Roman" w:cs="Times New Roman"/>
                <w:kern w:val="0"/>
              </w:rPr>
            </w:pPr>
          </w:p>
          <w:p w14:paraId="6F86A013" w14:textId="77777777" w:rsidR="00E032BA" w:rsidRPr="00E032BA" w:rsidRDefault="00E032BA" w:rsidP="00E032BA">
            <w:pPr>
              <w:kinsoku w:val="0"/>
              <w:overflowPunct w:val="0"/>
              <w:autoSpaceDE w:val="0"/>
              <w:autoSpaceDN w:val="0"/>
              <w:adjustRightInd w:val="0"/>
              <w:spacing w:after="0" w:line="252" w:lineRule="exact"/>
              <w:ind w:left="268"/>
              <w:rPr>
                <w:rFonts w:ascii="Calibri" w:hAnsi="Calibri" w:cs="Calibri"/>
                <w:spacing w:val="-4"/>
                <w:kern w:val="0"/>
              </w:rPr>
            </w:pPr>
            <w:r w:rsidRPr="00E032BA">
              <w:rPr>
                <w:rFonts w:ascii="Calibri" w:hAnsi="Calibri" w:cs="Calibri"/>
                <w:spacing w:val="-4"/>
                <w:kern w:val="0"/>
              </w:rPr>
              <w:t>8.0%</w:t>
            </w:r>
          </w:p>
        </w:tc>
        <w:tc>
          <w:tcPr>
            <w:tcW w:w="943" w:type="dxa"/>
            <w:tcBorders>
              <w:top w:val="single" w:sz="4" w:space="0" w:color="000000"/>
              <w:left w:val="none" w:sz="6" w:space="0" w:color="auto"/>
              <w:bottom w:val="single" w:sz="4" w:space="0" w:color="000000"/>
              <w:right w:val="single" w:sz="8" w:space="0" w:color="000000"/>
            </w:tcBorders>
            <w:shd w:val="clear" w:color="auto" w:fill="FFFF00"/>
          </w:tcPr>
          <w:p w14:paraId="1AB7E434" w14:textId="77777777" w:rsidR="00E032BA" w:rsidRPr="00E032BA" w:rsidRDefault="00E032BA" w:rsidP="00E032BA">
            <w:pPr>
              <w:kinsoku w:val="0"/>
              <w:overflowPunct w:val="0"/>
              <w:autoSpaceDE w:val="0"/>
              <w:autoSpaceDN w:val="0"/>
              <w:adjustRightInd w:val="0"/>
              <w:spacing w:before="43" w:after="0" w:line="240" w:lineRule="auto"/>
              <w:rPr>
                <w:rFonts w:ascii="Times New Roman" w:hAnsi="Times New Roman" w:cs="Times New Roman"/>
                <w:kern w:val="0"/>
              </w:rPr>
            </w:pPr>
          </w:p>
          <w:p w14:paraId="1BBA5691" w14:textId="77777777" w:rsidR="00E032BA" w:rsidRPr="00E032BA" w:rsidRDefault="00E032BA" w:rsidP="00E032BA">
            <w:pPr>
              <w:kinsoku w:val="0"/>
              <w:overflowPunct w:val="0"/>
              <w:autoSpaceDE w:val="0"/>
              <w:autoSpaceDN w:val="0"/>
              <w:adjustRightInd w:val="0"/>
              <w:spacing w:after="0" w:line="252" w:lineRule="exact"/>
              <w:ind w:left="256"/>
              <w:rPr>
                <w:rFonts w:ascii="Calibri" w:hAnsi="Calibri" w:cs="Calibri"/>
                <w:spacing w:val="-4"/>
                <w:kern w:val="0"/>
              </w:rPr>
            </w:pPr>
            <w:r w:rsidRPr="00E032BA">
              <w:rPr>
                <w:rFonts w:ascii="Calibri" w:hAnsi="Calibri" w:cs="Calibri"/>
                <w:spacing w:val="-4"/>
                <w:kern w:val="0"/>
              </w:rPr>
              <w:t>8.0%</w:t>
            </w:r>
          </w:p>
        </w:tc>
      </w:tr>
      <w:tr w:rsidR="00E032BA" w:rsidRPr="00E032BA" w14:paraId="7DAEA1D6" w14:textId="77777777">
        <w:tblPrEx>
          <w:tblCellMar>
            <w:top w:w="0" w:type="dxa"/>
            <w:left w:w="0" w:type="dxa"/>
            <w:bottom w:w="0" w:type="dxa"/>
            <w:right w:w="0" w:type="dxa"/>
          </w:tblCellMar>
        </w:tblPrEx>
        <w:trPr>
          <w:trHeight w:val="526"/>
        </w:trPr>
        <w:tc>
          <w:tcPr>
            <w:tcW w:w="852" w:type="dxa"/>
            <w:tcBorders>
              <w:top w:val="single" w:sz="4" w:space="0" w:color="000000"/>
              <w:left w:val="single" w:sz="8" w:space="0" w:color="000000"/>
              <w:bottom w:val="none" w:sz="6" w:space="0" w:color="auto"/>
              <w:right w:val="none" w:sz="6" w:space="0" w:color="auto"/>
            </w:tcBorders>
          </w:tcPr>
          <w:p w14:paraId="1377C88F" w14:textId="77777777" w:rsidR="00E032BA" w:rsidRPr="00E032BA" w:rsidRDefault="00E032BA" w:rsidP="00E032BA">
            <w:pPr>
              <w:kinsoku w:val="0"/>
              <w:overflowPunct w:val="0"/>
              <w:autoSpaceDE w:val="0"/>
              <w:autoSpaceDN w:val="0"/>
              <w:adjustRightInd w:val="0"/>
              <w:spacing w:before="237" w:after="0" w:line="240" w:lineRule="auto"/>
              <w:ind w:right="94"/>
              <w:jc w:val="right"/>
              <w:rPr>
                <w:rFonts w:ascii="Calibri" w:hAnsi="Calibri" w:cs="Calibri"/>
                <w:color w:val="FF0000"/>
                <w:spacing w:val="-4"/>
                <w:kern w:val="0"/>
              </w:rPr>
            </w:pPr>
            <w:r w:rsidRPr="00E032BA">
              <w:rPr>
                <w:rFonts w:ascii="Calibri" w:hAnsi="Calibri" w:cs="Calibri"/>
                <w:color w:val="FF0000"/>
                <w:spacing w:val="-4"/>
                <w:kern w:val="0"/>
              </w:rPr>
              <w:t>3/4"</w:t>
            </w:r>
          </w:p>
        </w:tc>
        <w:tc>
          <w:tcPr>
            <w:tcW w:w="1541" w:type="dxa"/>
            <w:tcBorders>
              <w:top w:val="single" w:sz="4" w:space="0" w:color="000000"/>
              <w:left w:val="none" w:sz="6" w:space="0" w:color="auto"/>
              <w:bottom w:val="none" w:sz="6" w:space="0" w:color="auto"/>
              <w:right w:val="none" w:sz="6" w:space="0" w:color="auto"/>
            </w:tcBorders>
            <w:shd w:val="clear" w:color="auto" w:fill="DCE6F0"/>
          </w:tcPr>
          <w:p w14:paraId="7555D2CA" w14:textId="77777777" w:rsidR="00E032BA" w:rsidRPr="00E032BA" w:rsidRDefault="00E032BA" w:rsidP="00E032BA">
            <w:pPr>
              <w:kinsoku w:val="0"/>
              <w:overflowPunct w:val="0"/>
              <w:autoSpaceDE w:val="0"/>
              <w:autoSpaceDN w:val="0"/>
              <w:adjustRightInd w:val="0"/>
              <w:spacing w:after="0" w:line="268" w:lineRule="exact"/>
              <w:ind w:right="102"/>
              <w:jc w:val="right"/>
              <w:rPr>
                <w:rFonts w:ascii="Calibri" w:hAnsi="Calibri" w:cs="Calibri"/>
                <w:spacing w:val="-2"/>
                <w:kern w:val="0"/>
              </w:rPr>
            </w:pPr>
            <w:r w:rsidRPr="00E032BA">
              <w:rPr>
                <w:rFonts w:ascii="Calibri" w:hAnsi="Calibri" w:cs="Calibri"/>
                <w:spacing w:val="-2"/>
                <w:kern w:val="0"/>
              </w:rPr>
              <w:t>$75.32</w:t>
            </w:r>
          </w:p>
        </w:tc>
        <w:tc>
          <w:tcPr>
            <w:tcW w:w="1361" w:type="dxa"/>
            <w:tcBorders>
              <w:top w:val="single" w:sz="4" w:space="0" w:color="000000"/>
              <w:left w:val="none" w:sz="6" w:space="0" w:color="auto"/>
              <w:bottom w:val="none" w:sz="6" w:space="0" w:color="auto"/>
              <w:right w:val="none" w:sz="6" w:space="0" w:color="auto"/>
            </w:tcBorders>
            <w:shd w:val="clear" w:color="auto" w:fill="DCE6F0"/>
          </w:tcPr>
          <w:p w14:paraId="78847C1A" w14:textId="77777777" w:rsidR="00E032BA" w:rsidRPr="00E032BA" w:rsidRDefault="00E032BA" w:rsidP="00E032BA">
            <w:pPr>
              <w:kinsoku w:val="0"/>
              <w:overflowPunct w:val="0"/>
              <w:autoSpaceDE w:val="0"/>
              <w:autoSpaceDN w:val="0"/>
              <w:adjustRightInd w:val="0"/>
              <w:spacing w:after="0" w:line="268" w:lineRule="exact"/>
              <w:ind w:right="104"/>
              <w:jc w:val="right"/>
              <w:rPr>
                <w:rFonts w:ascii="Calibri" w:hAnsi="Calibri" w:cs="Calibri"/>
                <w:spacing w:val="-4"/>
                <w:kern w:val="0"/>
              </w:rPr>
            </w:pPr>
            <w:r w:rsidRPr="00E032BA">
              <w:rPr>
                <w:rFonts w:ascii="Calibri" w:hAnsi="Calibri" w:cs="Calibri"/>
                <w:spacing w:val="-4"/>
                <w:kern w:val="0"/>
              </w:rPr>
              <w:t>93%</w:t>
            </w:r>
          </w:p>
        </w:tc>
        <w:tc>
          <w:tcPr>
            <w:tcW w:w="1119" w:type="dxa"/>
            <w:tcBorders>
              <w:top w:val="single" w:sz="4" w:space="0" w:color="000000"/>
              <w:left w:val="none" w:sz="6" w:space="0" w:color="auto"/>
              <w:bottom w:val="none" w:sz="6" w:space="0" w:color="auto"/>
              <w:right w:val="none" w:sz="6" w:space="0" w:color="auto"/>
            </w:tcBorders>
            <w:shd w:val="clear" w:color="auto" w:fill="DCE6F0"/>
          </w:tcPr>
          <w:p w14:paraId="0D99E0DE" w14:textId="77777777" w:rsidR="00E032BA" w:rsidRPr="00E032BA" w:rsidRDefault="00E032BA" w:rsidP="00E032BA">
            <w:pPr>
              <w:kinsoku w:val="0"/>
              <w:overflowPunct w:val="0"/>
              <w:autoSpaceDE w:val="0"/>
              <w:autoSpaceDN w:val="0"/>
              <w:adjustRightInd w:val="0"/>
              <w:spacing w:after="0" w:line="268" w:lineRule="exact"/>
              <w:ind w:right="100"/>
              <w:jc w:val="right"/>
              <w:rPr>
                <w:rFonts w:ascii="Calibri" w:hAnsi="Calibri" w:cs="Calibri"/>
                <w:spacing w:val="-2"/>
                <w:kern w:val="0"/>
              </w:rPr>
            </w:pPr>
            <w:r w:rsidRPr="00E032BA">
              <w:rPr>
                <w:rFonts w:ascii="Calibri" w:hAnsi="Calibri" w:cs="Calibri"/>
                <w:spacing w:val="-2"/>
                <w:kern w:val="0"/>
              </w:rPr>
              <w:t>$45.36</w:t>
            </w:r>
          </w:p>
        </w:tc>
        <w:tc>
          <w:tcPr>
            <w:tcW w:w="1131" w:type="dxa"/>
            <w:tcBorders>
              <w:top w:val="single" w:sz="4" w:space="0" w:color="000000"/>
              <w:left w:val="none" w:sz="6" w:space="0" w:color="auto"/>
              <w:bottom w:val="none" w:sz="6" w:space="0" w:color="auto"/>
              <w:right w:val="none" w:sz="6" w:space="0" w:color="auto"/>
            </w:tcBorders>
            <w:shd w:val="clear" w:color="auto" w:fill="FFFF00"/>
          </w:tcPr>
          <w:p w14:paraId="63545C05" w14:textId="77777777" w:rsidR="00E032BA" w:rsidRPr="00E032BA" w:rsidRDefault="00E032BA" w:rsidP="00E032BA">
            <w:pPr>
              <w:kinsoku w:val="0"/>
              <w:overflowPunct w:val="0"/>
              <w:autoSpaceDE w:val="0"/>
              <w:autoSpaceDN w:val="0"/>
              <w:adjustRightInd w:val="0"/>
              <w:spacing w:after="0" w:line="268" w:lineRule="exact"/>
              <w:ind w:right="100"/>
              <w:jc w:val="right"/>
              <w:rPr>
                <w:rFonts w:ascii="Calibri" w:hAnsi="Calibri" w:cs="Calibri"/>
                <w:color w:val="FF0000"/>
                <w:spacing w:val="-2"/>
                <w:kern w:val="0"/>
              </w:rPr>
            </w:pPr>
            <w:r w:rsidRPr="00E032BA">
              <w:rPr>
                <w:rFonts w:ascii="Calibri" w:hAnsi="Calibri" w:cs="Calibri"/>
                <w:color w:val="FF0000"/>
                <w:spacing w:val="-2"/>
                <w:kern w:val="0"/>
              </w:rPr>
              <w:t>$69.70</w:t>
            </w:r>
          </w:p>
        </w:tc>
        <w:tc>
          <w:tcPr>
            <w:tcW w:w="1251" w:type="dxa"/>
            <w:tcBorders>
              <w:top w:val="single" w:sz="4" w:space="0" w:color="000000"/>
              <w:left w:val="none" w:sz="6" w:space="0" w:color="auto"/>
              <w:bottom w:val="none" w:sz="6" w:space="0" w:color="auto"/>
              <w:right w:val="none" w:sz="6" w:space="0" w:color="auto"/>
            </w:tcBorders>
            <w:shd w:val="clear" w:color="auto" w:fill="DCE6F0"/>
          </w:tcPr>
          <w:p w14:paraId="365B0E93" w14:textId="77777777" w:rsidR="00E032BA" w:rsidRPr="00E032BA" w:rsidRDefault="00E032BA" w:rsidP="00E032BA">
            <w:pPr>
              <w:kinsoku w:val="0"/>
              <w:overflowPunct w:val="0"/>
              <w:autoSpaceDE w:val="0"/>
              <w:autoSpaceDN w:val="0"/>
              <w:adjustRightInd w:val="0"/>
              <w:spacing w:after="0" w:line="268" w:lineRule="exact"/>
              <w:ind w:right="204"/>
              <w:jc w:val="right"/>
              <w:rPr>
                <w:rFonts w:ascii="Calibri" w:hAnsi="Calibri" w:cs="Calibri"/>
                <w:spacing w:val="-2"/>
                <w:kern w:val="0"/>
              </w:rPr>
            </w:pPr>
            <w:r w:rsidRPr="00E032BA">
              <w:rPr>
                <w:rFonts w:ascii="Calibri" w:hAnsi="Calibri" w:cs="Calibri"/>
                <w:spacing w:val="-2"/>
                <w:kern w:val="0"/>
              </w:rPr>
              <w:t>$75.28</w:t>
            </w:r>
          </w:p>
        </w:tc>
        <w:tc>
          <w:tcPr>
            <w:tcW w:w="1140" w:type="dxa"/>
            <w:tcBorders>
              <w:top w:val="single" w:sz="4" w:space="0" w:color="000000"/>
              <w:left w:val="none" w:sz="6" w:space="0" w:color="auto"/>
              <w:bottom w:val="none" w:sz="6" w:space="0" w:color="auto"/>
              <w:right w:val="none" w:sz="6" w:space="0" w:color="auto"/>
            </w:tcBorders>
            <w:shd w:val="clear" w:color="auto" w:fill="DCE6F0"/>
          </w:tcPr>
          <w:p w14:paraId="5E4AE050" w14:textId="77777777" w:rsidR="00E032BA" w:rsidRPr="00E032BA" w:rsidRDefault="00E032BA" w:rsidP="00E032BA">
            <w:pPr>
              <w:kinsoku w:val="0"/>
              <w:overflowPunct w:val="0"/>
              <w:autoSpaceDE w:val="0"/>
              <w:autoSpaceDN w:val="0"/>
              <w:adjustRightInd w:val="0"/>
              <w:spacing w:after="0" w:line="268" w:lineRule="exact"/>
              <w:ind w:left="330"/>
              <w:rPr>
                <w:rFonts w:ascii="Calibri" w:hAnsi="Calibri" w:cs="Calibri"/>
                <w:spacing w:val="-2"/>
                <w:kern w:val="0"/>
              </w:rPr>
            </w:pPr>
            <w:r w:rsidRPr="00E032BA">
              <w:rPr>
                <w:rFonts w:ascii="Calibri" w:hAnsi="Calibri" w:cs="Calibri"/>
                <w:spacing w:val="-2"/>
                <w:kern w:val="0"/>
              </w:rPr>
              <w:t>$81.30</w:t>
            </w:r>
          </w:p>
        </w:tc>
        <w:tc>
          <w:tcPr>
            <w:tcW w:w="1056" w:type="dxa"/>
            <w:tcBorders>
              <w:top w:val="single" w:sz="4" w:space="0" w:color="000000"/>
              <w:left w:val="none" w:sz="6" w:space="0" w:color="auto"/>
              <w:bottom w:val="none" w:sz="6" w:space="0" w:color="auto"/>
              <w:right w:val="none" w:sz="6" w:space="0" w:color="auto"/>
            </w:tcBorders>
            <w:shd w:val="clear" w:color="auto" w:fill="DCE6F0"/>
          </w:tcPr>
          <w:p w14:paraId="798C3EC4" w14:textId="77777777" w:rsidR="00E032BA" w:rsidRPr="00E032BA" w:rsidRDefault="00E032BA" w:rsidP="00E032BA">
            <w:pPr>
              <w:kinsoku w:val="0"/>
              <w:overflowPunct w:val="0"/>
              <w:autoSpaceDE w:val="0"/>
              <w:autoSpaceDN w:val="0"/>
              <w:adjustRightInd w:val="0"/>
              <w:spacing w:after="0" w:line="268" w:lineRule="exact"/>
              <w:ind w:right="103"/>
              <w:jc w:val="right"/>
              <w:rPr>
                <w:rFonts w:ascii="Calibri" w:hAnsi="Calibri" w:cs="Calibri"/>
                <w:spacing w:val="-2"/>
                <w:kern w:val="0"/>
              </w:rPr>
            </w:pPr>
            <w:r w:rsidRPr="00E032BA">
              <w:rPr>
                <w:rFonts w:ascii="Calibri" w:hAnsi="Calibri" w:cs="Calibri"/>
                <w:spacing w:val="-2"/>
                <w:kern w:val="0"/>
              </w:rPr>
              <w:t>$87.80</w:t>
            </w:r>
          </w:p>
        </w:tc>
        <w:tc>
          <w:tcPr>
            <w:tcW w:w="943" w:type="dxa"/>
            <w:tcBorders>
              <w:top w:val="single" w:sz="4" w:space="0" w:color="000000"/>
              <w:left w:val="none" w:sz="6" w:space="0" w:color="auto"/>
              <w:bottom w:val="none" w:sz="6" w:space="0" w:color="auto"/>
              <w:right w:val="single" w:sz="8" w:space="0" w:color="000000"/>
            </w:tcBorders>
            <w:shd w:val="clear" w:color="auto" w:fill="DCE6F0"/>
          </w:tcPr>
          <w:p w14:paraId="1450E003" w14:textId="77777777" w:rsidR="00E032BA" w:rsidRPr="00E032BA" w:rsidRDefault="00E032BA" w:rsidP="00E032BA">
            <w:pPr>
              <w:kinsoku w:val="0"/>
              <w:overflowPunct w:val="0"/>
              <w:autoSpaceDE w:val="0"/>
              <w:autoSpaceDN w:val="0"/>
              <w:adjustRightInd w:val="0"/>
              <w:spacing w:after="0" w:line="268" w:lineRule="exact"/>
              <w:ind w:right="94"/>
              <w:jc w:val="right"/>
              <w:rPr>
                <w:rFonts w:ascii="Calibri" w:hAnsi="Calibri" w:cs="Calibri"/>
                <w:spacing w:val="-2"/>
                <w:kern w:val="0"/>
              </w:rPr>
            </w:pPr>
            <w:r w:rsidRPr="00E032BA">
              <w:rPr>
                <w:rFonts w:ascii="Calibri" w:hAnsi="Calibri" w:cs="Calibri"/>
                <w:spacing w:val="-2"/>
                <w:kern w:val="0"/>
              </w:rPr>
              <w:t>$94.82</w:t>
            </w:r>
          </w:p>
        </w:tc>
      </w:tr>
      <w:tr w:rsidR="00E032BA" w:rsidRPr="00E032BA" w14:paraId="0DC87925" w14:textId="77777777">
        <w:tblPrEx>
          <w:tblCellMar>
            <w:top w:w="0" w:type="dxa"/>
            <w:left w:w="0" w:type="dxa"/>
            <w:bottom w:w="0" w:type="dxa"/>
            <w:right w:w="0" w:type="dxa"/>
          </w:tblCellMar>
        </w:tblPrEx>
        <w:trPr>
          <w:trHeight w:val="490"/>
        </w:trPr>
        <w:tc>
          <w:tcPr>
            <w:tcW w:w="852" w:type="dxa"/>
            <w:tcBorders>
              <w:top w:val="none" w:sz="6" w:space="0" w:color="auto"/>
              <w:left w:val="single" w:sz="8" w:space="0" w:color="000000"/>
              <w:bottom w:val="single" w:sz="4" w:space="0" w:color="000000"/>
              <w:right w:val="none" w:sz="6" w:space="0" w:color="auto"/>
            </w:tcBorders>
          </w:tcPr>
          <w:p w14:paraId="2F838B46" w14:textId="77777777" w:rsidR="00E032BA" w:rsidRPr="00E032BA" w:rsidRDefault="00E032BA" w:rsidP="00E032BA">
            <w:pPr>
              <w:kinsoku w:val="0"/>
              <w:overflowPunct w:val="0"/>
              <w:autoSpaceDE w:val="0"/>
              <w:autoSpaceDN w:val="0"/>
              <w:adjustRightInd w:val="0"/>
              <w:spacing w:before="219" w:after="0" w:line="252" w:lineRule="exact"/>
              <w:ind w:right="93"/>
              <w:jc w:val="right"/>
              <w:rPr>
                <w:rFonts w:ascii="Calibri" w:hAnsi="Calibri" w:cs="Calibri"/>
                <w:color w:val="FF0000"/>
                <w:spacing w:val="-6"/>
                <w:kern w:val="0"/>
              </w:rPr>
            </w:pPr>
            <w:r w:rsidRPr="00E032BA">
              <w:rPr>
                <w:rFonts w:ascii="Calibri" w:hAnsi="Calibri" w:cs="Calibri"/>
                <w:color w:val="FF0000"/>
                <w:spacing w:val="-6"/>
                <w:kern w:val="0"/>
              </w:rPr>
              <w:t>1"</w:t>
            </w:r>
          </w:p>
        </w:tc>
        <w:tc>
          <w:tcPr>
            <w:tcW w:w="1541" w:type="dxa"/>
            <w:tcBorders>
              <w:top w:val="none" w:sz="6" w:space="0" w:color="auto"/>
              <w:left w:val="none" w:sz="6" w:space="0" w:color="auto"/>
              <w:bottom w:val="single" w:sz="4" w:space="0" w:color="000000"/>
              <w:right w:val="none" w:sz="6" w:space="0" w:color="auto"/>
            </w:tcBorders>
            <w:shd w:val="clear" w:color="auto" w:fill="DCE6F0"/>
          </w:tcPr>
          <w:p w14:paraId="6482D212" w14:textId="77777777" w:rsidR="00E032BA" w:rsidRPr="00E032BA" w:rsidRDefault="00E032BA" w:rsidP="00E032BA">
            <w:pPr>
              <w:kinsoku w:val="0"/>
              <w:overflowPunct w:val="0"/>
              <w:autoSpaceDE w:val="0"/>
              <w:autoSpaceDN w:val="0"/>
              <w:adjustRightInd w:val="0"/>
              <w:spacing w:after="0" w:line="250" w:lineRule="exact"/>
              <w:ind w:right="103"/>
              <w:jc w:val="right"/>
              <w:rPr>
                <w:rFonts w:ascii="Calibri" w:hAnsi="Calibri" w:cs="Calibri"/>
                <w:spacing w:val="-2"/>
                <w:kern w:val="0"/>
              </w:rPr>
            </w:pPr>
            <w:r w:rsidRPr="00E032BA">
              <w:rPr>
                <w:rFonts w:ascii="Calibri" w:hAnsi="Calibri" w:cs="Calibri"/>
                <w:spacing w:val="-2"/>
                <w:kern w:val="0"/>
              </w:rPr>
              <w:t>$133.90</w:t>
            </w:r>
          </w:p>
        </w:tc>
        <w:tc>
          <w:tcPr>
            <w:tcW w:w="1361" w:type="dxa"/>
            <w:tcBorders>
              <w:top w:val="none" w:sz="6" w:space="0" w:color="auto"/>
              <w:left w:val="none" w:sz="6" w:space="0" w:color="auto"/>
              <w:bottom w:val="single" w:sz="4" w:space="0" w:color="000000"/>
              <w:right w:val="none" w:sz="6" w:space="0" w:color="auto"/>
            </w:tcBorders>
            <w:shd w:val="clear" w:color="auto" w:fill="DCE6F0"/>
          </w:tcPr>
          <w:p w14:paraId="09C1EDFC" w14:textId="77777777" w:rsidR="00E032BA" w:rsidRPr="00E032BA" w:rsidRDefault="00E032BA" w:rsidP="00E032BA">
            <w:pPr>
              <w:kinsoku w:val="0"/>
              <w:overflowPunct w:val="0"/>
              <w:autoSpaceDE w:val="0"/>
              <w:autoSpaceDN w:val="0"/>
              <w:adjustRightInd w:val="0"/>
              <w:spacing w:after="0" w:line="250" w:lineRule="exact"/>
              <w:ind w:right="104"/>
              <w:jc w:val="right"/>
              <w:rPr>
                <w:rFonts w:ascii="Calibri" w:hAnsi="Calibri" w:cs="Calibri"/>
                <w:spacing w:val="-4"/>
                <w:kern w:val="0"/>
              </w:rPr>
            </w:pPr>
            <w:r w:rsidRPr="00E032BA">
              <w:rPr>
                <w:rFonts w:ascii="Calibri" w:hAnsi="Calibri" w:cs="Calibri"/>
                <w:spacing w:val="-4"/>
                <w:kern w:val="0"/>
              </w:rPr>
              <w:t>93%</w:t>
            </w:r>
          </w:p>
        </w:tc>
        <w:tc>
          <w:tcPr>
            <w:tcW w:w="1119" w:type="dxa"/>
            <w:tcBorders>
              <w:top w:val="none" w:sz="6" w:space="0" w:color="auto"/>
              <w:left w:val="none" w:sz="6" w:space="0" w:color="auto"/>
              <w:bottom w:val="single" w:sz="4" w:space="0" w:color="000000"/>
              <w:right w:val="none" w:sz="6" w:space="0" w:color="auto"/>
            </w:tcBorders>
            <w:shd w:val="clear" w:color="auto" w:fill="DCE6F0"/>
          </w:tcPr>
          <w:p w14:paraId="6FD3902B" w14:textId="77777777" w:rsidR="00E032BA" w:rsidRPr="00E032BA" w:rsidRDefault="00E032BA" w:rsidP="00E032BA">
            <w:pPr>
              <w:kinsoku w:val="0"/>
              <w:overflowPunct w:val="0"/>
              <w:autoSpaceDE w:val="0"/>
              <w:autoSpaceDN w:val="0"/>
              <w:adjustRightInd w:val="0"/>
              <w:spacing w:after="0" w:line="250" w:lineRule="exact"/>
              <w:ind w:right="100"/>
              <w:jc w:val="right"/>
              <w:rPr>
                <w:rFonts w:ascii="Calibri" w:hAnsi="Calibri" w:cs="Calibri"/>
                <w:spacing w:val="-2"/>
                <w:kern w:val="0"/>
              </w:rPr>
            </w:pPr>
            <w:r w:rsidRPr="00E032BA">
              <w:rPr>
                <w:rFonts w:ascii="Calibri" w:hAnsi="Calibri" w:cs="Calibri"/>
                <w:spacing w:val="-2"/>
                <w:kern w:val="0"/>
              </w:rPr>
              <w:t>$45.36</w:t>
            </w:r>
          </w:p>
        </w:tc>
        <w:tc>
          <w:tcPr>
            <w:tcW w:w="1131" w:type="dxa"/>
            <w:tcBorders>
              <w:top w:val="none" w:sz="6" w:space="0" w:color="auto"/>
              <w:left w:val="none" w:sz="6" w:space="0" w:color="auto"/>
              <w:bottom w:val="single" w:sz="4" w:space="0" w:color="000000"/>
              <w:right w:val="none" w:sz="6" w:space="0" w:color="auto"/>
            </w:tcBorders>
            <w:shd w:val="clear" w:color="auto" w:fill="FFFF00"/>
          </w:tcPr>
          <w:p w14:paraId="224EC798" w14:textId="77777777" w:rsidR="00E032BA" w:rsidRPr="00E032BA" w:rsidRDefault="00E032BA" w:rsidP="00E032BA">
            <w:pPr>
              <w:kinsoku w:val="0"/>
              <w:overflowPunct w:val="0"/>
              <w:autoSpaceDE w:val="0"/>
              <w:autoSpaceDN w:val="0"/>
              <w:adjustRightInd w:val="0"/>
              <w:spacing w:after="0" w:line="250" w:lineRule="exact"/>
              <w:ind w:right="101"/>
              <w:jc w:val="right"/>
              <w:rPr>
                <w:rFonts w:ascii="Calibri" w:hAnsi="Calibri" w:cs="Calibri"/>
                <w:color w:val="FF0000"/>
                <w:spacing w:val="-2"/>
                <w:kern w:val="0"/>
              </w:rPr>
            </w:pPr>
            <w:r w:rsidRPr="00E032BA">
              <w:rPr>
                <w:rFonts w:ascii="Calibri" w:hAnsi="Calibri" w:cs="Calibri"/>
                <w:color w:val="FF0000"/>
                <w:spacing w:val="-2"/>
                <w:kern w:val="0"/>
              </w:rPr>
              <w:t>$124.00</w:t>
            </w:r>
          </w:p>
        </w:tc>
        <w:tc>
          <w:tcPr>
            <w:tcW w:w="1251" w:type="dxa"/>
            <w:tcBorders>
              <w:top w:val="none" w:sz="6" w:space="0" w:color="auto"/>
              <w:left w:val="none" w:sz="6" w:space="0" w:color="auto"/>
              <w:bottom w:val="single" w:sz="4" w:space="0" w:color="000000"/>
              <w:right w:val="none" w:sz="6" w:space="0" w:color="auto"/>
            </w:tcBorders>
            <w:shd w:val="clear" w:color="auto" w:fill="DCE6F0"/>
          </w:tcPr>
          <w:p w14:paraId="434BE35E" w14:textId="77777777" w:rsidR="00E032BA" w:rsidRPr="00E032BA" w:rsidRDefault="00E032BA" w:rsidP="00E032BA">
            <w:pPr>
              <w:kinsoku w:val="0"/>
              <w:overflowPunct w:val="0"/>
              <w:autoSpaceDE w:val="0"/>
              <w:autoSpaceDN w:val="0"/>
              <w:adjustRightInd w:val="0"/>
              <w:spacing w:after="0" w:line="250" w:lineRule="exact"/>
              <w:ind w:right="204"/>
              <w:jc w:val="right"/>
              <w:rPr>
                <w:rFonts w:ascii="Calibri" w:hAnsi="Calibri" w:cs="Calibri"/>
                <w:spacing w:val="-2"/>
                <w:kern w:val="0"/>
              </w:rPr>
            </w:pPr>
            <w:r w:rsidRPr="00E032BA">
              <w:rPr>
                <w:rFonts w:ascii="Calibri" w:hAnsi="Calibri" w:cs="Calibri"/>
                <w:spacing w:val="-2"/>
                <w:kern w:val="0"/>
              </w:rPr>
              <w:t>$133.92</w:t>
            </w:r>
          </w:p>
        </w:tc>
        <w:tc>
          <w:tcPr>
            <w:tcW w:w="1140" w:type="dxa"/>
            <w:tcBorders>
              <w:top w:val="none" w:sz="6" w:space="0" w:color="auto"/>
              <w:left w:val="none" w:sz="6" w:space="0" w:color="auto"/>
              <w:bottom w:val="single" w:sz="4" w:space="0" w:color="000000"/>
              <w:right w:val="none" w:sz="6" w:space="0" w:color="auto"/>
            </w:tcBorders>
            <w:shd w:val="clear" w:color="auto" w:fill="DCE6F0"/>
          </w:tcPr>
          <w:p w14:paraId="515E5C1F" w14:textId="77777777" w:rsidR="00E032BA" w:rsidRPr="00E032BA" w:rsidRDefault="00E032BA" w:rsidP="00E032BA">
            <w:pPr>
              <w:kinsoku w:val="0"/>
              <w:overflowPunct w:val="0"/>
              <w:autoSpaceDE w:val="0"/>
              <w:autoSpaceDN w:val="0"/>
              <w:adjustRightInd w:val="0"/>
              <w:spacing w:after="0" w:line="250" w:lineRule="exact"/>
              <w:ind w:left="217"/>
              <w:rPr>
                <w:rFonts w:ascii="Calibri" w:hAnsi="Calibri" w:cs="Calibri"/>
                <w:spacing w:val="-2"/>
                <w:kern w:val="0"/>
              </w:rPr>
            </w:pPr>
            <w:r w:rsidRPr="00E032BA">
              <w:rPr>
                <w:rFonts w:ascii="Calibri" w:hAnsi="Calibri" w:cs="Calibri"/>
                <w:spacing w:val="-2"/>
                <w:kern w:val="0"/>
              </w:rPr>
              <w:t>$144.63</w:t>
            </w:r>
          </w:p>
        </w:tc>
        <w:tc>
          <w:tcPr>
            <w:tcW w:w="1056" w:type="dxa"/>
            <w:tcBorders>
              <w:top w:val="none" w:sz="6" w:space="0" w:color="auto"/>
              <w:left w:val="none" w:sz="6" w:space="0" w:color="auto"/>
              <w:bottom w:val="single" w:sz="4" w:space="0" w:color="000000"/>
              <w:right w:val="none" w:sz="6" w:space="0" w:color="auto"/>
            </w:tcBorders>
            <w:shd w:val="clear" w:color="auto" w:fill="DCE6F0"/>
          </w:tcPr>
          <w:p w14:paraId="2C00FC56" w14:textId="77777777" w:rsidR="00E032BA" w:rsidRPr="00E032BA" w:rsidRDefault="00E032BA" w:rsidP="00E032BA">
            <w:pPr>
              <w:kinsoku w:val="0"/>
              <w:overflowPunct w:val="0"/>
              <w:autoSpaceDE w:val="0"/>
              <w:autoSpaceDN w:val="0"/>
              <w:adjustRightInd w:val="0"/>
              <w:spacing w:after="0" w:line="250" w:lineRule="exact"/>
              <w:ind w:right="103"/>
              <w:jc w:val="right"/>
              <w:rPr>
                <w:rFonts w:ascii="Calibri" w:hAnsi="Calibri" w:cs="Calibri"/>
                <w:spacing w:val="-2"/>
                <w:kern w:val="0"/>
              </w:rPr>
            </w:pPr>
            <w:r w:rsidRPr="00E032BA">
              <w:rPr>
                <w:rFonts w:ascii="Calibri" w:hAnsi="Calibri" w:cs="Calibri"/>
                <w:spacing w:val="-2"/>
                <w:kern w:val="0"/>
              </w:rPr>
              <w:t>$156.20</w:t>
            </w:r>
          </w:p>
        </w:tc>
        <w:tc>
          <w:tcPr>
            <w:tcW w:w="943" w:type="dxa"/>
            <w:tcBorders>
              <w:top w:val="none" w:sz="6" w:space="0" w:color="auto"/>
              <w:left w:val="none" w:sz="6" w:space="0" w:color="auto"/>
              <w:bottom w:val="single" w:sz="4" w:space="0" w:color="000000"/>
              <w:right w:val="single" w:sz="8" w:space="0" w:color="000000"/>
            </w:tcBorders>
            <w:shd w:val="clear" w:color="auto" w:fill="DCE6F0"/>
          </w:tcPr>
          <w:p w14:paraId="3CDD385F" w14:textId="77777777" w:rsidR="00E032BA" w:rsidRPr="00E032BA" w:rsidRDefault="00E032BA" w:rsidP="00E032BA">
            <w:pPr>
              <w:kinsoku w:val="0"/>
              <w:overflowPunct w:val="0"/>
              <w:autoSpaceDE w:val="0"/>
              <w:autoSpaceDN w:val="0"/>
              <w:adjustRightInd w:val="0"/>
              <w:spacing w:after="0" w:line="250" w:lineRule="exact"/>
              <w:ind w:right="92"/>
              <w:jc w:val="right"/>
              <w:rPr>
                <w:rFonts w:ascii="Calibri" w:hAnsi="Calibri" w:cs="Calibri"/>
                <w:spacing w:val="-2"/>
                <w:kern w:val="0"/>
              </w:rPr>
            </w:pPr>
            <w:r w:rsidRPr="00E032BA">
              <w:rPr>
                <w:rFonts w:ascii="Calibri" w:hAnsi="Calibri" w:cs="Calibri"/>
                <w:spacing w:val="-2"/>
                <w:kern w:val="0"/>
              </w:rPr>
              <w:t>$168.70</w:t>
            </w:r>
          </w:p>
        </w:tc>
      </w:tr>
    </w:tbl>
    <w:p w14:paraId="78618B07" w14:textId="77777777" w:rsidR="00E032BA" w:rsidRDefault="00E032BA" w:rsidP="009E6192">
      <w:pPr>
        <w:pStyle w:val="NoSpacing"/>
        <w:rPr>
          <w:sz w:val="24"/>
          <w:szCs w:val="24"/>
        </w:rPr>
      </w:pPr>
    </w:p>
    <w:p w14:paraId="1F313CD9" w14:textId="19C37AFF" w:rsidR="00F30036" w:rsidRDefault="00F30036" w:rsidP="009E6192">
      <w:pPr>
        <w:pStyle w:val="NoSpacing"/>
        <w:rPr>
          <w:sz w:val="24"/>
          <w:szCs w:val="24"/>
        </w:rPr>
      </w:pPr>
      <w:r>
        <w:rPr>
          <w:sz w:val="24"/>
          <w:szCs w:val="24"/>
        </w:rPr>
        <w:t xml:space="preserve">The 2014 Rate Study illustrates the deficiencies in the </w:t>
      </w:r>
      <w:proofErr w:type="gramStart"/>
      <w:r>
        <w:rPr>
          <w:sz w:val="24"/>
          <w:szCs w:val="24"/>
        </w:rPr>
        <w:t>District’s</w:t>
      </w:r>
      <w:proofErr w:type="gramEnd"/>
      <w:r>
        <w:rPr>
          <w:sz w:val="24"/>
          <w:szCs w:val="24"/>
        </w:rPr>
        <w:t xml:space="preserve"> current rate structure.  Even with the proposed rate increases, the </w:t>
      </w:r>
      <w:proofErr w:type="gramStart"/>
      <w:r>
        <w:rPr>
          <w:sz w:val="24"/>
          <w:szCs w:val="24"/>
        </w:rPr>
        <w:t>District</w:t>
      </w:r>
      <w:proofErr w:type="gramEnd"/>
      <w:r>
        <w:rPr>
          <w:sz w:val="24"/>
          <w:szCs w:val="24"/>
        </w:rPr>
        <w:t xml:space="preserve">, 20 years </w:t>
      </w:r>
      <w:r w:rsidR="00D5413B">
        <w:rPr>
          <w:sz w:val="24"/>
          <w:szCs w:val="24"/>
        </w:rPr>
        <w:t>later,</w:t>
      </w:r>
      <w:r>
        <w:rPr>
          <w:sz w:val="24"/>
          <w:szCs w:val="24"/>
        </w:rPr>
        <w:t xml:space="preserve"> is still deficient.  Without taking the steps to begin making investments in the system now we will not have reliable water service for our community and severely risk the State dissolving the River Pines Public Utility District.</w:t>
      </w:r>
    </w:p>
    <w:p w14:paraId="457AE340" w14:textId="77777777" w:rsidR="00F30036" w:rsidRDefault="00F30036" w:rsidP="009E6192">
      <w:pPr>
        <w:pStyle w:val="NoSpacing"/>
        <w:rPr>
          <w:sz w:val="24"/>
          <w:szCs w:val="24"/>
        </w:rPr>
      </w:pPr>
    </w:p>
    <w:p w14:paraId="6944A0B8" w14:textId="7CE05820" w:rsidR="00F30036" w:rsidRDefault="00F30036" w:rsidP="009E6192">
      <w:pPr>
        <w:pStyle w:val="NoSpacing"/>
        <w:rPr>
          <w:b/>
          <w:bCs/>
          <w:sz w:val="24"/>
          <w:szCs w:val="24"/>
        </w:rPr>
      </w:pPr>
      <w:r w:rsidRPr="00F30036">
        <w:rPr>
          <w:b/>
          <w:bCs/>
          <w:sz w:val="24"/>
          <w:szCs w:val="24"/>
        </w:rPr>
        <w:t>Reasons for the Proposed Water and Wastewater Rates and Charges</w:t>
      </w:r>
    </w:p>
    <w:p w14:paraId="686CBE93" w14:textId="77777777" w:rsidR="00F30036" w:rsidRDefault="00F30036" w:rsidP="009E6192">
      <w:pPr>
        <w:pStyle w:val="NoSpacing"/>
        <w:rPr>
          <w:b/>
          <w:bCs/>
          <w:sz w:val="24"/>
          <w:szCs w:val="24"/>
        </w:rPr>
      </w:pPr>
    </w:p>
    <w:p w14:paraId="2C955E46" w14:textId="1FA2EFC1" w:rsidR="00F30036" w:rsidRDefault="00F30036" w:rsidP="009E6192">
      <w:pPr>
        <w:pStyle w:val="NoSpacing"/>
        <w:rPr>
          <w:sz w:val="24"/>
          <w:szCs w:val="24"/>
        </w:rPr>
      </w:pPr>
      <w:r>
        <w:rPr>
          <w:sz w:val="24"/>
          <w:szCs w:val="24"/>
        </w:rPr>
        <w:t xml:space="preserve">The proposed water and wastewater rates and charges are necessary to cover the ongoing and increasing cost of providing services including operation and maintenance costs, debt service obligations, and water system replacement and rehabilitation needs, as well as to establish and maintain prudent </w:t>
      </w:r>
      <w:r w:rsidR="00D5413B">
        <w:rPr>
          <w:sz w:val="24"/>
          <w:szCs w:val="24"/>
        </w:rPr>
        <w:t>financial reserves</w:t>
      </w:r>
      <w:r>
        <w:rPr>
          <w:sz w:val="24"/>
          <w:szCs w:val="24"/>
        </w:rPr>
        <w:t xml:space="preserve"> consistent with </w:t>
      </w:r>
      <w:r w:rsidR="00D5413B">
        <w:rPr>
          <w:sz w:val="24"/>
          <w:szCs w:val="24"/>
        </w:rPr>
        <w:t>established policies</w:t>
      </w:r>
      <w:r>
        <w:rPr>
          <w:sz w:val="24"/>
          <w:szCs w:val="24"/>
        </w:rPr>
        <w:t>.  These costs include labor, costs, energy, fuel and chemical costs; water production and treatment costs; water distribution costs; administrative and customer service costs; and costs related to facilities replacement, rehabilitation, and upgrade of the water system.</w:t>
      </w:r>
      <w:r w:rsidR="004A6C49">
        <w:rPr>
          <w:sz w:val="24"/>
          <w:szCs w:val="24"/>
        </w:rPr>
        <w:t xml:space="preserve">  Critical factors necessitating additional water rate and service charge revenue </w:t>
      </w:r>
      <w:r w:rsidR="00D5413B">
        <w:rPr>
          <w:sz w:val="24"/>
          <w:szCs w:val="24"/>
        </w:rPr>
        <w:t>currently</w:t>
      </w:r>
      <w:r w:rsidR="004A6C49">
        <w:rPr>
          <w:sz w:val="24"/>
          <w:szCs w:val="24"/>
        </w:rPr>
        <w:t xml:space="preserve"> include:</w:t>
      </w:r>
    </w:p>
    <w:p w14:paraId="36820011" w14:textId="77777777" w:rsidR="004A6C49" w:rsidRDefault="004A6C49" w:rsidP="009E6192">
      <w:pPr>
        <w:pStyle w:val="NoSpacing"/>
        <w:rPr>
          <w:sz w:val="24"/>
          <w:szCs w:val="24"/>
        </w:rPr>
      </w:pPr>
    </w:p>
    <w:p w14:paraId="7DADA6B3" w14:textId="7610E37A" w:rsidR="004A6C49" w:rsidRDefault="004A6C49" w:rsidP="004A6C49">
      <w:pPr>
        <w:pStyle w:val="NoSpacing"/>
        <w:numPr>
          <w:ilvl w:val="0"/>
          <w:numId w:val="1"/>
        </w:numPr>
        <w:rPr>
          <w:sz w:val="24"/>
          <w:szCs w:val="24"/>
        </w:rPr>
      </w:pPr>
      <w:r>
        <w:rPr>
          <w:sz w:val="24"/>
          <w:szCs w:val="24"/>
        </w:rPr>
        <w:t>Ensuring that existing long-term debt service costs and related obligations are met.</w:t>
      </w:r>
    </w:p>
    <w:p w14:paraId="1F978591" w14:textId="375BC339" w:rsidR="004A6C49" w:rsidRDefault="004A6C49" w:rsidP="004A6C49">
      <w:pPr>
        <w:pStyle w:val="NoSpacing"/>
        <w:numPr>
          <w:ilvl w:val="0"/>
          <w:numId w:val="1"/>
        </w:numPr>
        <w:rPr>
          <w:sz w:val="24"/>
          <w:szCs w:val="24"/>
        </w:rPr>
      </w:pPr>
      <w:r>
        <w:rPr>
          <w:sz w:val="24"/>
          <w:szCs w:val="24"/>
        </w:rPr>
        <w:t>Providing funding for planned replacement, rehabilitation, and upgrades to water and wastewater facilities.</w:t>
      </w:r>
    </w:p>
    <w:p w14:paraId="51A57CD3" w14:textId="463540C4" w:rsidR="004A6C49" w:rsidRDefault="004A6C49" w:rsidP="004A6C49">
      <w:pPr>
        <w:pStyle w:val="NoSpacing"/>
        <w:numPr>
          <w:ilvl w:val="0"/>
          <w:numId w:val="1"/>
        </w:numPr>
        <w:rPr>
          <w:sz w:val="24"/>
          <w:szCs w:val="24"/>
        </w:rPr>
      </w:pPr>
      <w:r>
        <w:rPr>
          <w:sz w:val="24"/>
          <w:szCs w:val="24"/>
        </w:rPr>
        <w:t>Replenishing critically low financial reserves to meet current debt covenants, and to be financially able to respond to an emergency.</w:t>
      </w:r>
    </w:p>
    <w:p w14:paraId="7090CE25" w14:textId="467BB5DF" w:rsidR="004A6C49" w:rsidRDefault="004A6C49" w:rsidP="004A6C49">
      <w:pPr>
        <w:pStyle w:val="NoSpacing"/>
        <w:numPr>
          <w:ilvl w:val="0"/>
          <w:numId w:val="1"/>
        </w:numPr>
        <w:rPr>
          <w:sz w:val="24"/>
          <w:szCs w:val="24"/>
        </w:rPr>
      </w:pPr>
      <w:r>
        <w:rPr>
          <w:sz w:val="24"/>
          <w:szCs w:val="24"/>
        </w:rPr>
        <w:t>Improving revenue stability through adjustments to the rate structure.</w:t>
      </w:r>
    </w:p>
    <w:p w14:paraId="10E76196" w14:textId="77777777" w:rsidR="004A6C49" w:rsidRDefault="004A6C49" w:rsidP="004A6C49">
      <w:pPr>
        <w:pStyle w:val="NoSpacing"/>
        <w:rPr>
          <w:sz w:val="24"/>
          <w:szCs w:val="24"/>
        </w:rPr>
      </w:pPr>
    </w:p>
    <w:p w14:paraId="25B06C1F" w14:textId="3325DF1C" w:rsidR="004A6C49" w:rsidRDefault="004A6C49" w:rsidP="004A6C49">
      <w:pPr>
        <w:pStyle w:val="NoSpacing"/>
        <w:rPr>
          <w:sz w:val="24"/>
          <w:szCs w:val="24"/>
        </w:rPr>
      </w:pPr>
      <w:r>
        <w:rPr>
          <w:sz w:val="24"/>
          <w:szCs w:val="24"/>
        </w:rPr>
        <w:t xml:space="preserve">The proposed water and wastewater rates and charges are supported by a five-year period.  Proposed rates follow the existing water and wastewater structures and have been </w:t>
      </w:r>
      <w:r>
        <w:rPr>
          <w:sz w:val="24"/>
          <w:szCs w:val="24"/>
        </w:rPr>
        <w:lastRenderedPageBreak/>
        <w:t>adjusted to reflect revenue requirements.  The water rates include monthly tier service charges based on water usage.</w:t>
      </w:r>
    </w:p>
    <w:p w14:paraId="3A090C18" w14:textId="77777777" w:rsidR="00A94604" w:rsidRDefault="00A94604" w:rsidP="004A6C49">
      <w:pPr>
        <w:pStyle w:val="NoSpacing"/>
        <w:rPr>
          <w:sz w:val="24"/>
          <w:szCs w:val="24"/>
        </w:rPr>
      </w:pPr>
    </w:p>
    <w:p w14:paraId="13D8B74E" w14:textId="77777777" w:rsidR="00A94604" w:rsidRDefault="00A94604" w:rsidP="004A6C49">
      <w:pPr>
        <w:pStyle w:val="NoSpacing"/>
        <w:rPr>
          <w:sz w:val="24"/>
          <w:szCs w:val="24"/>
        </w:rPr>
      </w:pPr>
    </w:p>
    <w:p w14:paraId="59C755F0" w14:textId="77777777" w:rsidR="00A94604" w:rsidRPr="0036066F" w:rsidRDefault="00A94604" w:rsidP="00A94604">
      <w:pPr>
        <w:pStyle w:val="NoSpacing"/>
        <w:rPr>
          <w:b/>
          <w:sz w:val="24"/>
          <w:szCs w:val="24"/>
          <w:u w:val="single"/>
        </w:rPr>
      </w:pPr>
      <w:bookmarkStart w:id="0" w:name="_Hlk27390019"/>
      <w:r w:rsidRPr="0036066F">
        <w:rPr>
          <w:b/>
          <w:sz w:val="24"/>
          <w:szCs w:val="24"/>
          <w:u w:val="single"/>
        </w:rPr>
        <w:t>Parcel Rates</w:t>
      </w:r>
      <w:r>
        <w:rPr>
          <w:b/>
          <w:sz w:val="24"/>
          <w:szCs w:val="24"/>
          <w:u w:val="single"/>
        </w:rPr>
        <w:t xml:space="preserve"> – Year 1 Increase – Beginning January 1, 2025</w:t>
      </w:r>
    </w:p>
    <w:p w14:paraId="4F38B7CC" w14:textId="77777777" w:rsidR="00A94604" w:rsidRDefault="00A94604" w:rsidP="00A94604">
      <w:pPr>
        <w:rPr>
          <w:sz w:val="24"/>
          <w:szCs w:val="24"/>
        </w:rPr>
      </w:pPr>
      <w:r>
        <w:rPr>
          <w:sz w:val="24"/>
          <w:szCs w:val="24"/>
        </w:rPr>
        <w:t>The proposed change to the RPPUD Rate and Fee Schedule:</w:t>
      </w:r>
    </w:p>
    <w:p w14:paraId="4DEFDE42" w14:textId="77777777" w:rsidR="00A94604" w:rsidRPr="0036066F" w:rsidRDefault="00A94604" w:rsidP="00A94604">
      <w:pPr>
        <w:pStyle w:val="NoSpacing"/>
        <w:rPr>
          <w:b/>
          <w:sz w:val="24"/>
          <w:szCs w:val="24"/>
          <w:u w:val="single"/>
        </w:rPr>
      </w:pPr>
      <w:r w:rsidRPr="0036066F">
        <w:rPr>
          <w:b/>
          <w:sz w:val="24"/>
          <w:szCs w:val="24"/>
          <w:u w:val="single"/>
        </w:rPr>
        <w:t>WATER RATES:</w:t>
      </w:r>
    </w:p>
    <w:p w14:paraId="062E58F4" w14:textId="77777777" w:rsidR="00A94604" w:rsidRDefault="00A94604" w:rsidP="00A94604">
      <w:pPr>
        <w:pStyle w:val="NoSpacing"/>
      </w:pPr>
      <w:r>
        <w:t>Residential Monthly Base Service Rate</w:t>
      </w:r>
      <w:r>
        <w:tab/>
      </w:r>
      <w:r>
        <w:tab/>
      </w:r>
      <w:r>
        <w:tab/>
      </w:r>
      <w:r>
        <w:tab/>
      </w:r>
      <w:r>
        <w:tab/>
        <w:t>$68.50</w:t>
      </w:r>
    </w:p>
    <w:p w14:paraId="3B174D5A" w14:textId="77777777" w:rsidR="00A94604" w:rsidRDefault="00A94604" w:rsidP="00A94604">
      <w:pPr>
        <w:pStyle w:val="NoSpacing"/>
      </w:pPr>
      <w:r>
        <w:t>Commercial Monthly Base Service Rate</w:t>
      </w:r>
      <w:r>
        <w:tab/>
      </w:r>
      <w:r>
        <w:tab/>
      </w:r>
      <w:r>
        <w:tab/>
      </w:r>
      <w:r>
        <w:tab/>
      </w:r>
      <w:r>
        <w:tab/>
        <w:t>$68.50</w:t>
      </w:r>
    </w:p>
    <w:p w14:paraId="07FF3ED4" w14:textId="77777777" w:rsidR="00A94604" w:rsidRDefault="00A94604" w:rsidP="00A94604">
      <w:pPr>
        <w:pStyle w:val="NoSpacing"/>
      </w:pPr>
    </w:p>
    <w:p w14:paraId="661A0947" w14:textId="77777777" w:rsidR="00A94604" w:rsidRPr="0036066F" w:rsidRDefault="00A94604" w:rsidP="00A94604">
      <w:pPr>
        <w:pStyle w:val="NoSpacing"/>
        <w:rPr>
          <w:b/>
          <w:u w:val="single"/>
        </w:rPr>
      </w:pPr>
      <w:r w:rsidRPr="0036066F">
        <w:rPr>
          <w:b/>
          <w:u w:val="single"/>
        </w:rPr>
        <w:t>WATER USAGE RATES:</w:t>
      </w:r>
    </w:p>
    <w:p w14:paraId="0FE2E6D3" w14:textId="77777777" w:rsidR="00A94604" w:rsidRDefault="00A94604" w:rsidP="00A94604">
      <w:pPr>
        <w:pStyle w:val="NoSpacing"/>
      </w:pPr>
      <w:r>
        <w:t>1 - 3,000 gallons per month usage</w:t>
      </w:r>
      <w:r>
        <w:tab/>
      </w:r>
      <w:r>
        <w:tab/>
      </w:r>
      <w:r>
        <w:tab/>
      </w:r>
      <w:r>
        <w:tab/>
      </w:r>
      <w:r>
        <w:tab/>
        <w:t>$4.74/K</w:t>
      </w:r>
    </w:p>
    <w:p w14:paraId="0EBDF410" w14:textId="77777777" w:rsidR="00A94604" w:rsidRDefault="00A94604" w:rsidP="00A94604">
      <w:pPr>
        <w:pStyle w:val="NoSpacing"/>
      </w:pPr>
      <w:r>
        <w:t>3,001 - 5,000 gallons per month usage</w:t>
      </w:r>
      <w:r>
        <w:tab/>
      </w:r>
      <w:r>
        <w:tab/>
      </w:r>
      <w:r>
        <w:tab/>
      </w:r>
      <w:r>
        <w:tab/>
      </w:r>
      <w:r>
        <w:tab/>
        <w:t>$7.50/K</w:t>
      </w:r>
    </w:p>
    <w:p w14:paraId="2848C143" w14:textId="77777777" w:rsidR="00A94604" w:rsidRDefault="00A94604" w:rsidP="00A94604">
      <w:pPr>
        <w:pStyle w:val="NoSpacing"/>
      </w:pPr>
      <w:r>
        <w:t>5,001 - 7,000 gallons per month usage</w:t>
      </w:r>
      <w:r>
        <w:tab/>
      </w:r>
      <w:r>
        <w:tab/>
      </w:r>
      <w:r>
        <w:tab/>
      </w:r>
      <w:r>
        <w:tab/>
      </w:r>
      <w:r>
        <w:tab/>
        <w:t>$10.50/K</w:t>
      </w:r>
    </w:p>
    <w:p w14:paraId="0A2AEAB4" w14:textId="77777777" w:rsidR="00A94604" w:rsidRDefault="00A94604" w:rsidP="00A94604">
      <w:pPr>
        <w:pStyle w:val="NoSpacing"/>
      </w:pPr>
      <w:r>
        <w:t>7,001 - 9,000 gallons per month usage</w:t>
      </w:r>
      <w:r>
        <w:tab/>
      </w:r>
      <w:r>
        <w:tab/>
      </w:r>
      <w:r>
        <w:tab/>
      </w:r>
      <w:r>
        <w:tab/>
      </w:r>
      <w:r>
        <w:tab/>
        <w:t>$15.50/K</w:t>
      </w:r>
    </w:p>
    <w:p w14:paraId="2B7ABA2F" w14:textId="77777777" w:rsidR="00A94604" w:rsidRDefault="00A94604" w:rsidP="00A94604">
      <w:pPr>
        <w:pStyle w:val="NoSpacing"/>
      </w:pPr>
      <w:r>
        <w:t>9,001 - 999,999 gallons per month usage</w:t>
      </w:r>
      <w:r>
        <w:tab/>
      </w:r>
      <w:r>
        <w:tab/>
      </w:r>
      <w:r>
        <w:tab/>
      </w:r>
      <w:r>
        <w:tab/>
        <w:t>$50.50/K</w:t>
      </w:r>
    </w:p>
    <w:p w14:paraId="1E4558CB" w14:textId="77777777" w:rsidR="00A94604" w:rsidRDefault="00A94604" w:rsidP="00A94604">
      <w:pPr>
        <w:pStyle w:val="NoSpacing"/>
      </w:pPr>
    </w:p>
    <w:bookmarkEnd w:id="0"/>
    <w:p w14:paraId="656C34AB" w14:textId="77777777" w:rsidR="00A94604" w:rsidRDefault="00A94604" w:rsidP="00A94604">
      <w:pPr>
        <w:pStyle w:val="NoSpacing"/>
        <w:rPr>
          <w:b/>
          <w:sz w:val="24"/>
          <w:szCs w:val="24"/>
          <w:u w:val="single"/>
        </w:rPr>
      </w:pPr>
      <w:r w:rsidRPr="00EF0166">
        <w:rPr>
          <w:b/>
          <w:sz w:val="24"/>
          <w:szCs w:val="24"/>
          <w:u w:val="single"/>
        </w:rPr>
        <w:t>Parcel Rates – Year 2 Increase</w:t>
      </w:r>
      <w:r>
        <w:rPr>
          <w:b/>
          <w:sz w:val="24"/>
          <w:szCs w:val="24"/>
          <w:u w:val="single"/>
        </w:rPr>
        <w:t xml:space="preserve"> – Beginning January 1, 2026</w:t>
      </w:r>
    </w:p>
    <w:p w14:paraId="032D648F" w14:textId="77777777" w:rsidR="00A94604" w:rsidRPr="00EF0166" w:rsidRDefault="00A94604" w:rsidP="00A94604">
      <w:pPr>
        <w:pStyle w:val="NoSpacing"/>
        <w:rPr>
          <w:sz w:val="24"/>
          <w:szCs w:val="24"/>
        </w:rPr>
      </w:pPr>
      <w:r w:rsidRPr="00EF0166">
        <w:rPr>
          <w:sz w:val="24"/>
          <w:szCs w:val="24"/>
        </w:rPr>
        <w:t>The proposed change to the RPPUD Rate and Fee Schedule:</w:t>
      </w:r>
    </w:p>
    <w:p w14:paraId="7F776CA8" w14:textId="77777777" w:rsidR="00A94604" w:rsidRDefault="00A94604" w:rsidP="00A94604">
      <w:pPr>
        <w:pStyle w:val="NoSpacing"/>
        <w:rPr>
          <w:b/>
          <w:sz w:val="24"/>
          <w:szCs w:val="24"/>
          <w:u w:val="single"/>
        </w:rPr>
      </w:pPr>
    </w:p>
    <w:p w14:paraId="23905768" w14:textId="77777777" w:rsidR="00A94604" w:rsidRDefault="00A94604" w:rsidP="00A94604">
      <w:pPr>
        <w:pStyle w:val="NoSpacing"/>
        <w:rPr>
          <w:b/>
          <w:sz w:val="24"/>
          <w:szCs w:val="24"/>
          <w:u w:val="single"/>
        </w:rPr>
      </w:pPr>
      <w:r>
        <w:rPr>
          <w:b/>
          <w:sz w:val="24"/>
          <w:szCs w:val="24"/>
          <w:u w:val="single"/>
        </w:rPr>
        <w:t>WATER RATES:</w:t>
      </w:r>
    </w:p>
    <w:p w14:paraId="7375EA40" w14:textId="77777777" w:rsidR="00A94604" w:rsidRDefault="00A94604" w:rsidP="00A94604">
      <w:pPr>
        <w:pStyle w:val="NoSpacing"/>
        <w:rPr>
          <w:sz w:val="24"/>
          <w:szCs w:val="24"/>
        </w:rPr>
      </w:pPr>
      <w:r w:rsidRPr="00EF0166">
        <w:rPr>
          <w:sz w:val="24"/>
          <w:szCs w:val="24"/>
        </w:rPr>
        <w:t>R</w:t>
      </w:r>
      <w:r>
        <w:rPr>
          <w:sz w:val="24"/>
          <w:szCs w:val="24"/>
        </w:rPr>
        <w:t>esidential Monthly Base Service Rate</w:t>
      </w:r>
      <w:r>
        <w:rPr>
          <w:sz w:val="24"/>
          <w:szCs w:val="24"/>
        </w:rPr>
        <w:tab/>
      </w:r>
      <w:r>
        <w:rPr>
          <w:sz w:val="24"/>
          <w:szCs w:val="24"/>
        </w:rPr>
        <w:tab/>
      </w:r>
      <w:r>
        <w:rPr>
          <w:sz w:val="24"/>
          <w:szCs w:val="24"/>
        </w:rPr>
        <w:tab/>
      </w:r>
      <w:r>
        <w:rPr>
          <w:sz w:val="24"/>
          <w:szCs w:val="24"/>
        </w:rPr>
        <w:tab/>
        <w:t>$76.00</w:t>
      </w:r>
    </w:p>
    <w:p w14:paraId="0DA87F4E" w14:textId="77777777" w:rsidR="00A94604" w:rsidRDefault="00A94604" w:rsidP="00A94604">
      <w:pPr>
        <w:pStyle w:val="NoSpacing"/>
        <w:rPr>
          <w:sz w:val="24"/>
          <w:szCs w:val="24"/>
        </w:rPr>
      </w:pPr>
      <w:r>
        <w:rPr>
          <w:sz w:val="24"/>
          <w:szCs w:val="24"/>
        </w:rPr>
        <w:t>Commercial Monthly Base Service Rate</w:t>
      </w:r>
      <w:r>
        <w:rPr>
          <w:sz w:val="24"/>
          <w:szCs w:val="24"/>
        </w:rPr>
        <w:tab/>
      </w:r>
      <w:r>
        <w:rPr>
          <w:sz w:val="24"/>
          <w:szCs w:val="24"/>
        </w:rPr>
        <w:tab/>
      </w:r>
      <w:r>
        <w:rPr>
          <w:sz w:val="24"/>
          <w:szCs w:val="24"/>
        </w:rPr>
        <w:tab/>
      </w:r>
      <w:r>
        <w:rPr>
          <w:sz w:val="24"/>
          <w:szCs w:val="24"/>
        </w:rPr>
        <w:tab/>
        <w:t>$76.00</w:t>
      </w:r>
    </w:p>
    <w:p w14:paraId="1428961A" w14:textId="77777777" w:rsidR="00A94604" w:rsidRDefault="00A94604" w:rsidP="00A94604">
      <w:pPr>
        <w:pStyle w:val="NoSpacing"/>
        <w:rPr>
          <w:sz w:val="24"/>
          <w:szCs w:val="24"/>
        </w:rPr>
      </w:pPr>
    </w:p>
    <w:p w14:paraId="741310D9" w14:textId="77777777" w:rsidR="00A94604" w:rsidRDefault="00A94604" w:rsidP="00A94604">
      <w:pPr>
        <w:pStyle w:val="NoSpacing"/>
        <w:rPr>
          <w:sz w:val="24"/>
          <w:szCs w:val="24"/>
        </w:rPr>
      </w:pPr>
      <w:r>
        <w:rPr>
          <w:b/>
          <w:sz w:val="24"/>
          <w:szCs w:val="24"/>
          <w:u w:val="single"/>
        </w:rPr>
        <w:t>WATER USAGE RATES:</w:t>
      </w:r>
    </w:p>
    <w:p w14:paraId="1A7A57E2" w14:textId="77777777" w:rsidR="00A94604" w:rsidRDefault="00A94604" w:rsidP="00A94604">
      <w:pPr>
        <w:pStyle w:val="NoSpacing"/>
        <w:rPr>
          <w:sz w:val="24"/>
          <w:szCs w:val="24"/>
        </w:rPr>
      </w:pPr>
      <w:r>
        <w:rPr>
          <w:sz w:val="24"/>
          <w:szCs w:val="24"/>
        </w:rPr>
        <w:t>1-3,000 gallons per month usage</w:t>
      </w:r>
      <w:r>
        <w:rPr>
          <w:sz w:val="24"/>
          <w:szCs w:val="24"/>
        </w:rPr>
        <w:tab/>
      </w:r>
      <w:r>
        <w:rPr>
          <w:sz w:val="24"/>
          <w:szCs w:val="24"/>
        </w:rPr>
        <w:tab/>
      </w:r>
      <w:r>
        <w:rPr>
          <w:sz w:val="24"/>
          <w:szCs w:val="24"/>
        </w:rPr>
        <w:tab/>
      </w:r>
      <w:r>
        <w:rPr>
          <w:sz w:val="24"/>
          <w:szCs w:val="24"/>
        </w:rPr>
        <w:tab/>
      </w:r>
      <w:r>
        <w:rPr>
          <w:sz w:val="24"/>
          <w:szCs w:val="24"/>
        </w:rPr>
        <w:tab/>
        <w:t>$5.00</w:t>
      </w:r>
    </w:p>
    <w:p w14:paraId="628A471A" w14:textId="77777777" w:rsidR="00A94604" w:rsidRDefault="00A94604" w:rsidP="00A94604">
      <w:pPr>
        <w:pStyle w:val="NoSpacing"/>
        <w:rPr>
          <w:sz w:val="24"/>
          <w:szCs w:val="24"/>
        </w:rPr>
      </w:pPr>
      <w:r>
        <w:rPr>
          <w:sz w:val="24"/>
          <w:szCs w:val="24"/>
        </w:rPr>
        <w:t>3,001 – 5,000 gallons per month usage</w:t>
      </w:r>
      <w:r>
        <w:rPr>
          <w:sz w:val="24"/>
          <w:szCs w:val="24"/>
        </w:rPr>
        <w:tab/>
      </w:r>
      <w:r>
        <w:rPr>
          <w:sz w:val="24"/>
          <w:szCs w:val="24"/>
        </w:rPr>
        <w:tab/>
      </w:r>
      <w:r>
        <w:rPr>
          <w:sz w:val="24"/>
          <w:szCs w:val="24"/>
        </w:rPr>
        <w:tab/>
      </w:r>
      <w:r>
        <w:rPr>
          <w:sz w:val="24"/>
          <w:szCs w:val="24"/>
        </w:rPr>
        <w:tab/>
        <w:t>$8.50</w:t>
      </w:r>
    </w:p>
    <w:p w14:paraId="6DD68DA7" w14:textId="77777777" w:rsidR="00A94604" w:rsidRDefault="00A94604" w:rsidP="00A94604">
      <w:pPr>
        <w:pStyle w:val="NoSpacing"/>
        <w:rPr>
          <w:sz w:val="24"/>
          <w:szCs w:val="24"/>
        </w:rPr>
      </w:pPr>
      <w:r>
        <w:rPr>
          <w:sz w:val="24"/>
          <w:szCs w:val="24"/>
        </w:rPr>
        <w:t>5,001 – 7,000 gallons per month usage</w:t>
      </w:r>
      <w:r>
        <w:rPr>
          <w:sz w:val="24"/>
          <w:szCs w:val="24"/>
        </w:rPr>
        <w:tab/>
      </w:r>
      <w:r>
        <w:rPr>
          <w:sz w:val="24"/>
          <w:szCs w:val="24"/>
        </w:rPr>
        <w:tab/>
      </w:r>
      <w:r>
        <w:rPr>
          <w:sz w:val="24"/>
          <w:szCs w:val="24"/>
        </w:rPr>
        <w:tab/>
      </w:r>
      <w:r>
        <w:rPr>
          <w:sz w:val="24"/>
          <w:szCs w:val="24"/>
        </w:rPr>
        <w:tab/>
        <w:t>$11.50</w:t>
      </w:r>
    </w:p>
    <w:p w14:paraId="5B053E5F" w14:textId="77777777" w:rsidR="00A94604" w:rsidRDefault="00A94604" w:rsidP="00A94604">
      <w:pPr>
        <w:pStyle w:val="NoSpacing"/>
        <w:rPr>
          <w:sz w:val="24"/>
          <w:szCs w:val="24"/>
        </w:rPr>
      </w:pPr>
      <w:r>
        <w:rPr>
          <w:sz w:val="24"/>
          <w:szCs w:val="24"/>
        </w:rPr>
        <w:t>7,001 – 9,000 gallons per month usage</w:t>
      </w:r>
      <w:r>
        <w:rPr>
          <w:sz w:val="24"/>
          <w:szCs w:val="24"/>
        </w:rPr>
        <w:tab/>
      </w:r>
      <w:r>
        <w:rPr>
          <w:sz w:val="24"/>
          <w:szCs w:val="24"/>
        </w:rPr>
        <w:tab/>
      </w:r>
      <w:r>
        <w:rPr>
          <w:sz w:val="24"/>
          <w:szCs w:val="24"/>
        </w:rPr>
        <w:tab/>
      </w:r>
      <w:r>
        <w:rPr>
          <w:sz w:val="24"/>
          <w:szCs w:val="24"/>
        </w:rPr>
        <w:tab/>
        <w:t>$16.50</w:t>
      </w:r>
    </w:p>
    <w:p w14:paraId="7336A258" w14:textId="77777777" w:rsidR="00A94604" w:rsidRDefault="00A94604" w:rsidP="00A94604">
      <w:pPr>
        <w:pStyle w:val="NoSpacing"/>
        <w:rPr>
          <w:sz w:val="24"/>
          <w:szCs w:val="24"/>
        </w:rPr>
      </w:pPr>
      <w:r>
        <w:rPr>
          <w:sz w:val="24"/>
          <w:szCs w:val="24"/>
        </w:rPr>
        <w:t>9,001 – 999,999 gallons per month usage</w:t>
      </w:r>
      <w:r>
        <w:rPr>
          <w:sz w:val="24"/>
          <w:szCs w:val="24"/>
        </w:rPr>
        <w:tab/>
      </w:r>
      <w:r>
        <w:rPr>
          <w:sz w:val="24"/>
          <w:szCs w:val="24"/>
        </w:rPr>
        <w:tab/>
      </w:r>
      <w:r>
        <w:rPr>
          <w:sz w:val="24"/>
          <w:szCs w:val="24"/>
        </w:rPr>
        <w:tab/>
      </w:r>
      <w:r>
        <w:rPr>
          <w:sz w:val="24"/>
          <w:szCs w:val="24"/>
        </w:rPr>
        <w:tab/>
        <w:t>$52.50</w:t>
      </w:r>
    </w:p>
    <w:p w14:paraId="11FEF006" w14:textId="77777777" w:rsidR="00A94604" w:rsidRDefault="00A94604" w:rsidP="00A94604">
      <w:pPr>
        <w:pStyle w:val="NoSpacing"/>
        <w:rPr>
          <w:sz w:val="24"/>
          <w:szCs w:val="24"/>
        </w:rPr>
      </w:pPr>
    </w:p>
    <w:p w14:paraId="7C4AD8F0" w14:textId="77777777" w:rsidR="00A94604" w:rsidRPr="0036066F" w:rsidRDefault="00A94604" w:rsidP="00A94604">
      <w:pPr>
        <w:pStyle w:val="NoSpacing"/>
        <w:rPr>
          <w:b/>
          <w:sz w:val="24"/>
          <w:szCs w:val="24"/>
          <w:u w:val="single"/>
        </w:rPr>
      </w:pPr>
      <w:r w:rsidRPr="0036066F">
        <w:rPr>
          <w:b/>
          <w:sz w:val="24"/>
          <w:szCs w:val="24"/>
          <w:u w:val="single"/>
        </w:rPr>
        <w:t>Parcel Rates</w:t>
      </w:r>
      <w:r>
        <w:rPr>
          <w:b/>
          <w:sz w:val="24"/>
          <w:szCs w:val="24"/>
          <w:u w:val="single"/>
        </w:rPr>
        <w:t xml:space="preserve"> – Year 3 Increase – Beginning January 1, 2027</w:t>
      </w:r>
    </w:p>
    <w:p w14:paraId="5E716952" w14:textId="77777777" w:rsidR="00A94604" w:rsidRDefault="00A94604" w:rsidP="00A94604">
      <w:pPr>
        <w:rPr>
          <w:sz w:val="24"/>
          <w:szCs w:val="24"/>
        </w:rPr>
      </w:pPr>
      <w:r>
        <w:rPr>
          <w:sz w:val="24"/>
          <w:szCs w:val="24"/>
        </w:rPr>
        <w:t>The proposed change to the RPPUD Rate and Fee Schedule:</w:t>
      </w:r>
    </w:p>
    <w:p w14:paraId="3FE24BA0" w14:textId="77777777" w:rsidR="00A94604" w:rsidRPr="0036066F" w:rsidRDefault="00A94604" w:rsidP="00A94604">
      <w:pPr>
        <w:pStyle w:val="NoSpacing"/>
        <w:rPr>
          <w:b/>
          <w:sz w:val="24"/>
          <w:szCs w:val="24"/>
          <w:u w:val="single"/>
        </w:rPr>
      </w:pPr>
      <w:r w:rsidRPr="0036066F">
        <w:rPr>
          <w:b/>
          <w:sz w:val="24"/>
          <w:szCs w:val="24"/>
          <w:u w:val="single"/>
        </w:rPr>
        <w:t>WATER RATES:</w:t>
      </w:r>
    </w:p>
    <w:p w14:paraId="677C14FC" w14:textId="77777777" w:rsidR="00A94604" w:rsidRDefault="00A94604" w:rsidP="00A94604">
      <w:pPr>
        <w:pStyle w:val="NoSpacing"/>
      </w:pPr>
      <w:r>
        <w:t>Residential Monthly Base Service Rate</w:t>
      </w:r>
      <w:r>
        <w:tab/>
      </w:r>
      <w:r>
        <w:tab/>
      </w:r>
      <w:r>
        <w:tab/>
      </w:r>
      <w:r>
        <w:tab/>
      </w:r>
      <w:r>
        <w:tab/>
        <w:t>$83.60</w:t>
      </w:r>
    </w:p>
    <w:p w14:paraId="1E3DFBEA" w14:textId="77777777" w:rsidR="00A94604" w:rsidRDefault="00A94604" w:rsidP="00A94604">
      <w:pPr>
        <w:pStyle w:val="NoSpacing"/>
      </w:pPr>
      <w:r>
        <w:t>Commercial Monthly Base Service Rate</w:t>
      </w:r>
      <w:r>
        <w:tab/>
      </w:r>
      <w:r>
        <w:tab/>
      </w:r>
      <w:r>
        <w:tab/>
      </w:r>
      <w:r>
        <w:tab/>
      </w:r>
      <w:r>
        <w:tab/>
        <w:t>$83.60</w:t>
      </w:r>
    </w:p>
    <w:p w14:paraId="4AF5F6DB" w14:textId="77777777" w:rsidR="00A94604" w:rsidRDefault="00A94604" w:rsidP="00A94604">
      <w:pPr>
        <w:pStyle w:val="NoSpacing"/>
      </w:pPr>
    </w:p>
    <w:p w14:paraId="590C07E6" w14:textId="77777777" w:rsidR="00A94604" w:rsidRPr="0036066F" w:rsidRDefault="00A94604" w:rsidP="00A94604">
      <w:pPr>
        <w:pStyle w:val="NoSpacing"/>
        <w:rPr>
          <w:b/>
          <w:u w:val="single"/>
        </w:rPr>
      </w:pPr>
      <w:r w:rsidRPr="0036066F">
        <w:rPr>
          <w:b/>
          <w:u w:val="single"/>
        </w:rPr>
        <w:t>WATER USAGE RATES:</w:t>
      </w:r>
    </w:p>
    <w:p w14:paraId="3D97E250" w14:textId="77777777" w:rsidR="00A94604" w:rsidRDefault="00A94604" w:rsidP="00A94604">
      <w:pPr>
        <w:pStyle w:val="NoSpacing"/>
      </w:pPr>
      <w:r>
        <w:t>1 - 3,000 gallons per month usage</w:t>
      </w:r>
      <w:r>
        <w:tab/>
      </w:r>
      <w:r>
        <w:tab/>
      </w:r>
      <w:r>
        <w:tab/>
      </w:r>
      <w:r>
        <w:tab/>
      </w:r>
      <w:r>
        <w:tab/>
        <w:t>$5.50/K</w:t>
      </w:r>
    </w:p>
    <w:p w14:paraId="06D1F626" w14:textId="77777777" w:rsidR="00A94604" w:rsidRDefault="00A94604" w:rsidP="00A94604">
      <w:pPr>
        <w:pStyle w:val="NoSpacing"/>
      </w:pPr>
      <w:r>
        <w:t>3,001 - 5,000 gallons per month usage</w:t>
      </w:r>
      <w:r>
        <w:tab/>
      </w:r>
      <w:r>
        <w:tab/>
      </w:r>
      <w:r>
        <w:tab/>
      </w:r>
      <w:r>
        <w:tab/>
      </w:r>
      <w:r>
        <w:tab/>
        <w:t>$9.50/K</w:t>
      </w:r>
    </w:p>
    <w:p w14:paraId="3FDCD68A" w14:textId="77777777" w:rsidR="00A94604" w:rsidRDefault="00A94604" w:rsidP="00A94604">
      <w:pPr>
        <w:pStyle w:val="NoSpacing"/>
      </w:pPr>
      <w:r>
        <w:t>5,001 - 7,000 gallons per month usage</w:t>
      </w:r>
      <w:r>
        <w:tab/>
      </w:r>
      <w:r>
        <w:tab/>
      </w:r>
      <w:r>
        <w:tab/>
      </w:r>
      <w:r>
        <w:tab/>
      </w:r>
      <w:r>
        <w:tab/>
        <w:t>$12.50/K</w:t>
      </w:r>
    </w:p>
    <w:p w14:paraId="161F3198" w14:textId="77777777" w:rsidR="00A94604" w:rsidRDefault="00A94604" w:rsidP="00A94604">
      <w:pPr>
        <w:pStyle w:val="NoSpacing"/>
      </w:pPr>
      <w:r>
        <w:t>7,001 - 9,000 gallons per month usage</w:t>
      </w:r>
      <w:r>
        <w:tab/>
      </w:r>
      <w:r>
        <w:tab/>
      </w:r>
      <w:r>
        <w:tab/>
      </w:r>
      <w:r>
        <w:tab/>
      </w:r>
      <w:r>
        <w:tab/>
        <w:t>$17.50/K</w:t>
      </w:r>
    </w:p>
    <w:p w14:paraId="45BE564E" w14:textId="77777777" w:rsidR="00A94604" w:rsidRDefault="00A94604" w:rsidP="00A94604">
      <w:pPr>
        <w:pStyle w:val="NoSpacing"/>
      </w:pPr>
      <w:r>
        <w:t>9,001 - 999,999 gallons per month usage</w:t>
      </w:r>
      <w:r>
        <w:tab/>
      </w:r>
      <w:r>
        <w:tab/>
      </w:r>
      <w:r>
        <w:tab/>
      </w:r>
      <w:r>
        <w:tab/>
        <w:t>$54.50/K</w:t>
      </w:r>
    </w:p>
    <w:p w14:paraId="3201D01E" w14:textId="77777777" w:rsidR="00A94604" w:rsidRDefault="00A94604" w:rsidP="00A94604">
      <w:pPr>
        <w:pStyle w:val="NoSpacing"/>
      </w:pPr>
    </w:p>
    <w:p w14:paraId="0A99EA51" w14:textId="77777777" w:rsidR="00A94604" w:rsidRPr="0036066F" w:rsidRDefault="00A94604" w:rsidP="00A94604">
      <w:pPr>
        <w:pStyle w:val="NoSpacing"/>
        <w:rPr>
          <w:b/>
          <w:sz w:val="24"/>
          <w:szCs w:val="24"/>
          <w:u w:val="single"/>
        </w:rPr>
      </w:pPr>
      <w:r w:rsidRPr="0036066F">
        <w:rPr>
          <w:b/>
          <w:sz w:val="24"/>
          <w:szCs w:val="24"/>
          <w:u w:val="single"/>
        </w:rPr>
        <w:lastRenderedPageBreak/>
        <w:t>Parcel Rates</w:t>
      </w:r>
      <w:r>
        <w:rPr>
          <w:b/>
          <w:sz w:val="24"/>
          <w:szCs w:val="24"/>
          <w:u w:val="single"/>
        </w:rPr>
        <w:t xml:space="preserve"> – Year 4 Increase – Beginning January 1, 2028</w:t>
      </w:r>
    </w:p>
    <w:p w14:paraId="4DBEC99E" w14:textId="77777777" w:rsidR="00A94604" w:rsidRDefault="00A94604" w:rsidP="00A94604">
      <w:pPr>
        <w:rPr>
          <w:sz w:val="24"/>
          <w:szCs w:val="24"/>
        </w:rPr>
      </w:pPr>
      <w:r>
        <w:rPr>
          <w:sz w:val="24"/>
          <w:szCs w:val="24"/>
        </w:rPr>
        <w:t>The proposed change to the RPPUD Rate and Fee Schedule:</w:t>
      </w:r>
    </w:p>
    <w:p w14:paraId="2B4981F9" w14:textId="77777777" w:rsidR="00A94604" w:rsidRPr="0036066F" w:rsidRDefault="00A94604" w:rsidP="00A94604">
      <w:pPr>
        <w:pStyle w:val="NoSpacing"/>
        <w:rPr>
          <w:b/>
          <w:sz w:val="24"/>
          <w:szCs w:val="24"/>
          <w:u w:val="single"/>
        </w:rPr>
      </w:pPr>
      <w:r w:rsidRPr="0036066F">
        <w:rPr>
          <w:b/>
          <w:sz w:val="24"/>
          <w:szCs w:val="24"/>
          <w:u w:val="single"/>
        </w:rPr>
        <w:t>WATER RATES:</w:t>
      </w:r>
    </w:p>
    <w:p w14:paraId="3E0C038D" w14:textId="77777777" w:rsidR="00A94604" w:rsidRDefault="00A94604" w:rsidP="00A94604">
      <w:pPr>
        <w:pStyle w:val="NoSpacing"/>
      </w:pPr>
      <w:r>
        <w:t>Residential Monthly Base Service Rate</w:t>
      </w:r>
      <w:r>
        <w:tab/>
      </w:r>
      <w:r>
        <w:tab/>
      </w:r>
      <w:r>
        <w:tab/>
      </w:r>
      <w:r>
        <w:tab/>
      </w:r>
      <w:r>
        <w:tab/>
        <w:t>$91.96</w:t>
      </w:r>
    </w:p>
    <w:p w14:paraId="6DF106BF" w14:textId="77777777" w:rsidR="00A94604" w:rsidRDefault="00A94604" w:rsidP="00A94604">
      <w:pPr>
        <w:pStyle w:val="NoSpacing"/>
      </w:pPr>
      <w:r>
        <w:t>Commercial Monthly Base Service Rate</w:t>
      </w:r>
      <w:r>
        <w:tab/>
      </w:r>
      <w:r>
        <w:tab/>
      </w:r>
      <w:r>
        <w:tab/>
      </w:r>
      <w:r>
        <w:tab/>
      </w:r>
      <w:r>
        <w:tab/>
        <w:t>$91.96</w:t>
      </w:r>
    </w:p>
    <w:p w14:paraId="529CB503" w14:textId="77777777" w:rsidR="00A94604" w:rsidRDefault="00A94604" w:rsidP="00A94604">
      <w:pPr>
        <w:pStyle w:val="NoSpacing"/>
      </w:pPr>
    </w:p>
    <w:p w14:paraId="60D91605" w14:textId="77777777" w:rsidR="00A94604" w:rsidRPr="0036066F" w:rsidRDefault="00A94604" w:rsidP="00A94604">
      <w:pPr>
        <w:pStyle w:val="NoSpacing"/>
        <w:rPr>
          <w:b/>
          <w:u w:val="single"/>
        </w:rPr>
      </w:pPr>
      <w:r w:rsidRPr="0036066F">
        <w:rPr>
          <w:b/>
          <w:u w:val="single"/>
        </w:rPr>
        <w:t>WATER USAGE RATES:</w:t>
      </w:r>
    </w:p>
    <w:p w14:paraId="032EA72B" w14:textId="77777777" w:rsidR="00A94604" w:rsidRDefault="00A94604" w:rsidP="00A94604">
      <w:pPr>
        <w:pStyle w:val="NoSpacing"/>
      </w:pPr>
      <w:r>
        <w:t>1 - 3,000 gallons per month usage</w:t>
      </w:r>
      <w:r>
        <w:tab/>
      </w:r>
      <w:r>
        <w:tab/>
      </w:r>
      <w:r>
        <w:tab/>
      </w:r>
      <w:r>
        <w:tab/>
      </w:r>
      <w:r>
        <w:tab/>
        <w:t>$6.00/K</w:t>
      </w:r>
    </w:p>
    <w:p w14:paraId="2FCFDEEF" w14:textId="77777777" w:rsidR="00A94604" w:rsidRDefault="00A94604" w:rsidP="00A94604">
      <w:pPr>
        <w:pStyle w:val="NoSpacing"/>
      </w:pPr>
      <w:r>
        <w:t>3,001 - 5,000 gallons per month usage</w:t>
      </w:r>
      <w:r>
        <w:tab/>
      </w:r>
      <w:r>
        <w:tab/>
      </w:r>
      <w:r>
        <w:tab/>
      </w:r>
      <w:r>
        <w:tab/>
      </w:r>
      <w:r>
        <w:tab/>
        <w:t>$10.50/K</w:t>
      </w:r>
    </w:p>
    <w:p w14:paraId="54A84726" w14:textId="77777777" w:rsidR="00A94604" w:rsidRDefault="00A94604" w:rsidP="00A94604">
      <w:pPr>
        <w:pStyle w:val="NoSpacing"/>
      </w:pPr>
      <w:r>
        <w:t>5,001 - 7,000 gallons per month usage</w:t>
      </w:r>
      <w:r>
        <w:tab/>
      </w:r>
      <w:r>
        <w:tab/>
      </w:r>
      <w:r>
        <w:tab/>
      </w:r>
      <w:r>
        <w:tab/>
      </w:r>
      <w:r>
        <w:tab/>
        <w:t>$13.50/K</w:t>
      </w:r>
    </w:p>
    <w:p w14:paraId="56BE62DB" w14:textId="77777777" w:rsidR="00A94604" w:rsidRDefault="00A94604" w:rsidP="00A94604">
      <w:pPr>
        <w:pStyle w:val="NoSpacing"/>
      </w:pPr>
      <w:r>
        <w:t>7,001 - 9,000 gallons per month usage</w:t>
      </w:r>
      <w:r>
        <w:tab/>
      </w:r>
      <w:r>
        <w:tab/>
      </w:r>
      <w:r>
        <w:tab/>
      </w:r>
      <w:r>
        <w:tab/>
      </w:r>
      <w:r>
        <w:tab/>
        <w:t>$18.50/K</w:t>
      </w:r>
    </w:p>
    <w:p w14:paraId="60E35488" w14:textId="77777777" w:rsidR="00A94604" w:rsidRDefault="00A94604" w:rsidP="00A94604">
      <w:pPr>
        <w:pStyle w:val="NoSpacing"/>
      </w:pPr>
      <w:r>
        <w:t>9,001 - 999,999 gallons per month usage</w:t>
      </w:r>
      <w:r>
        <w:tab/>
      </w:r>
      <w:r>
        <w:tab/>
      </w:r>
      <w:r>
        <w:tab/>
      </w:r>
      <w:r>
        <w:tab/>
        <w:t>$56.50/K</w:t>
      </w:r>
    </w:p>
    <w:p w14:paraId="0C2ED19B" w14:textId="77777777" w:rsidR="00A94604" w:rsidRDefault="00A94604" w:rsidP="00A94604">
      <w:pPr>
        <w:pStyle w:val="NoSpacing"/>
        <w:rPr>
          <w:b/>
          <w:sz w:val="24"/>
          <w:szCs w:val="24"/>
          <w:u w:val="single"/>
        </w:rPr>
      </w:pPr>
    </w:p>
    <w:p w14:paraId="7B2BE5DF" w14:textId="77777777" w:rsidR="00A94604" w:rsidRPr="0036066F" w:rsidRDefault="00A94604" w:rsidP="00A94604">
      <w:pPr>
        <w:pStyle w:val="NoSpacing"/>
        <w:rPr>
          <w:b/>
          <w:sz w:val="24"/>
          <w:szCs w:val="24"/>
          <w:u w:val="single"/>
        </w:rPr>
      </w:pPr>
      <w:r w:rsidRPr="0036066F">
        <w:rPr>
          <w:b/>
          <w:sz w:val="24"/>
          <w:szCs w:val="24"/>
          <w:u w:val="single"/>
        </w:rPr>
        <w:t>Parcel Rates</w:t>
      </w:r>
      <w:r>
        <w:rPr>
          <w:b/>
          <w:sz w:val="24"/>
          <w:szCs w:val="24"/>
          <w:u w:val="single"/>
        </w:rPr>
        <w:t xml:space="preserve"> – Year 5 Increase – Beginning January 1, 2029</w:t>
      </w:r>
    </w:p>
    <w:p w14:paraId="5E1E8F8D" w14:textId="77777777" w:rsidR="00A94604" w:rsidRDefault="00A94604" w:rsidP="00A94604">
      <w:pPr>
        <w:rPr>
          <w:sz w:val="24"/>
          <w:szCs w:val="24"/>
        </w:rPr>
      </w:pPr>
      <w:r>
        <w:rPr>
          <w:sz w:val="24"/>
          <w:szCs w:val="24"/>
        </w:rPr>
        <w:t>The proposed change to the RPPUD Rate and Fee Schedule:</w:t>
      </w:r>
    </w:p>
    <w:p w14:paraId="5575F1A8" w14:textId="77777777" w:rsidR="00A94604" w:rsidRPr="0036066F" w:rsidRDefault="00A94604" w:rsidP="00A94604">
      <w:pPr>
        <w:pStyle w:val="NoSpacing"/>
        <w:rPr>
          <w:b/>
          <w:sz w:val="24"/>
          <w:szCs w:val="24"/>
          <w:u w:val="single"/>
        </w:rPr>
      </w:pPr>
      <w:r w:rsidRPr="0036066F">
        <w:rPr>
          <w:b/>
          <w:sz w:val="24"/>
          <w:szCs w:val="24"/>
          <w:u w:val="single"/>
        </w:rPr>
        <w:t>WATER RATES:</w:t>
      </w:r>
    </w:p>
    <w:p w14:paraId="28C4A747" w14:textId="77777777" w:rsidR="00A94604" w:rsidRDefault="00A94604" w:rsidP="00A94604">
      <w:pPr>
        <w:pStyle w:val="NoSpacing"/>
      </w:pPr>
      <w:r>
        <w:t>Residential Monthly Base Service Rate</w:t>
      </w:r>
      <w:r>
        <w:tab/>
      </w:r>
      <w:r>
        <w:tab/>
      </w:r>
      <w:r>
        <w:tab/>
      </w:r>
      <w:r>
        <w:tab/>
      </w:r>
      <w:r>
        <w:tab/>
        <w:t>$101.16</w:t>
      </w:r>
    </w:p>
    <w:p w14:paraId="1B522231" w14:textId="77777777" w:rsidR="00A94604" w:rsidRDefault="00A94604" w:rsidP="00A94604">
      <w:pPr>
        <w:pStyle w:val="NoSpacing"/>
      </w:pPr>
      <w:r>
        <w:t>Commercial Monthly Base Service Rate</w:t>
      </w:r>
      <w:r>
        <w:tab/>
      </w:r>
      <w:r>
        <w:tab/>
      </w:r>
      <w:r>
        <w:tab/>
      </w:r>
      <w:r>
        <w:tab/>
      </w:r>
      <w:r>
        <w:tab/>
        <w:t>$101.16</w:t>
      </w:r>
    </w:p>
    <w:p w14:paraId="38F66BA5" w14:textId="77777777" w:rsidR="00A94604" w:rsidRDefault="00A94604" w:rsidP="00A94604">
      <w:pPr>
        <w:pStyle w:val="NoSpacing"/>
      </w:pPr>
    </w:p>
    <w:p w14:paraId="608C7B78" w14:textId="77777777" w:rsidR="00A94604" w:rsidRPr="0036066F" w:rsidRDefault="00A94604" w:rsidP="00A94604">
      <w:pPr>
        <w:pStyle w:val="NoSpacing"/>
        <w:rPr>
          <w:b/>
          <w:u w:val="single"/>
        </w:rPr>
      </w:pPr>
      <w:r w:rsidRPr="0036066F">
        <w:rPr>
          <w:b/>
          <w:u w:val="single"/>
        </w:rPr>
        <w:t>WATER USAGE RATES:</w:t>
      </w:r>
    </w:p>
    <w:p w14:paraId="0869A554" w14:textId="77777777" w:rsidR="00A94604" w:rsidRDefault="00A94604" w:rsidP="00A94604">
      <w:pPr>
        <w:pStyle w:val="NoSpacing"/>
      </w:pPr>
      <w:r>
        <w:t>1 - 3,000 gallons per month usage</w:t>
      </w:r>
      <w:r>
        <w:tab/>
      </w:r>
      <w:r>
        <w:tab/>
      </w:r>
      <w:r>
        <w:tab/>
      </w:r>
      <w:r>
        <w:tab/>
      </w:r>
      <w:r>
        <w:tab/>
        <w:t>$6.50/K</w:t>
      </w:r>
    </w:p>
    <w:p w14:paraId="57F84F39" w14:textId="77777777" w:rsidR="00A94604" w:rsidRDefault="00A94604" w:rsidP="00A94604">
      <w:pPr>
        <w:pStyle w:val="NoSpacing"/>
      </w:pPr>
      <w:r>
        <w:t>3,001 - 5,000 gallons per month usage</w:t>
      </w:r>
      <w:r>
        <w:tab/>
      </w:r>
      <w:r>
        <w:tab/>
      </w:r>
      <w:r>
        <w:tab/>
      </w:r>
      <w:r>
        <w:tab/>
      </w:r>
      <w:r>
        <w:tab/>
        <w:t>$11.50/K</w:t>
      </w:r>
    </w:p>
    <w:p w14:paraId="6C041106" w14:textId="77777777" w:rsidR="00A94604" w:rsidRDefault="00A94604" w:rsidP="00A94604">
      <w:pPr>
        <w:pStyle w:val="NoSpacing"/>
      </w:pPr>
      <w:r>
        <w:t>5,001 - 7,000 gallons per month usage</w:t>
      </w:r>
      <w:r>
        <w:tab/>
      </w:r>
      <w:r>
        <w:tab/>
      </w:r>
      <w:r>
        <w:tab/>
      </w:r>
      <w:r>
        <w:tab/>
      </w:r>
      <w:r>
        <w:tab/>
        <w:t>$14.50/K</w:t>
      </w:r>
    </w:p>
    <w:p w14:paraId="730E12C8" w14:textId="77777777" w:rsidR="00A94604" w:rsidRDefault="00A94604" w:rsidP="00A94604">
      <w:pPr>
        <w:pStyle w:val="NoSpacing"/>
      </w:pPr>
      <w:r>
        <w:t>7,001 - 9,000 gallons per month usage</w:t>
      </w:r>
      <w:r>
        <w:tab/>
      </w:r>
      <w:r>
        <w:tab/>
      </w:r>
      <w:r>
        <w:tab/>
      </w:r>
      <w:r>
        <w:tab/>
      </w:r>
      <w:r>
        <w:tab/>
        <w:t>$19.50/K</w:t>
      </w:r>
    </w:p>
    <w:p w14:paraId="7DF36961" w14:textId="77777777" w:rsidR="00A94604" w:rsidRDefault="00A94604" w:rsidP="00A94604">
      <w:pPr>
        <w:pStyle w:val="NoSpacing"/>
      </w:pPr>
      <w:r>
        <w:t>9,001 - 999,999 gallons per month usage</w:t>
      </w:r>
      <w:r>
        <w:tab/>
      </w:r>
      <w:r>
        <w:tab/>
      </w:r>
      <w:r>
        <w:tab/>
      </w:r>
      <w:r>
        <w:tab/>
        <w:t>$58.50/K</w:t>
      </w:r>
    </w:p>
    <w:p w14:paraId="3132E9C2" w14:textId="77777777" w:rsidR="00A94604" w:rsidRDefault="00A94604" w:rsidP="004A6C49">
      <w:pPr>
        <w:pStyle w:val="NoSpacing"/>
        <w:rPr>
          <w:sz w:val="24"/>
          <w:szCs w:val="24"/>
        </w:rPr>
      </w:pPr>
    </w:p>
    <w:p w14:paraId="7B325FED" w14:textId="77777777" w:rsidR="00A94604" w:rsidRDefault="00A94604" w:rsidP="004A6C49">
      <w:pPr>
        <w:pStyle w:val="NoSpacing"/>
        <w:rPr>
          <w:sz w:val="24"/>
          <w:szCs w:val="24"/>
        </w:rPr>
      </w:pPr>
    </w:p>
    <w:p w14:paraId="27F786BC" w14:textId="77777777" w:rsidR="00A94604" w:rsidRPr="00A94604" w:rsidRDefault="00A94604" w:rsidP="00A94604">
      <w:pPr>
        <w:pStyle w:val="Default"/>
      </w:pPr>
      <w:r w:rsidRPr="00A94604">
        <w:rPr>
          <w:b/>
          <w:bCs/>
          <w:sz w:val="28"/>
          <w:szCs w:val="28"/>
        </w:rPr>
        <w:t xml:space="preserve">Parcel Rate Increase - Beginning January 1, 2025 </w:t>
      </w:r>
      <w:r>
        <w:rPr>
          <w:b/>
          <w:bCs/>
          <w:sz w:val="22"/>
          <w:szCs w:val="22"/>
        </w:rPr>
        <w:t xml:space="preserve">- </w:t>
      </w:r>
      <w:r w:rsidRPr="00A94604">
        <w:rPr>
          <w:b/>
          <w:bCs/>
        </w:rPr>
        <w:t>T</w:t>
      </w:r>
      <w:r w:rsidRPr="00A94604">
        <w:t xml:space="preserve">he proposed change to the RPPUD Rate and Fee Schedule: </w:t>
      </w:r>
    </w:p>
    <w:p w14:paraId="135A9F08" w14:textId="77777777" w:rsidR="00A94604" w:rsidRDefault="00A94604" w:rsidP="00A94604">
      <w:pPr>
        <w:pStyle w:val="Default"/>
        <w:rPr>
          <w:color w:val="auto"/>
          <w:sz w:val="22"/>
          <w:szCs w:val="22"/>
        </w:rPr>
      </w:pPr>
    </w:p>
    <w:p w14:paraId="3B515534" w14:textId="77777777" w:rsidR="00A94604" w:rsidRPr="00A94604" w:rsidRDefault="00A94604" w:rsidP="00A94604">
      <w:pPr>
        <w:pStyle w:val="Default"/>
        <w:rPr>
          <w:color w:val="auto"/>
          <w:sz w:val="28"/>
          <w:szCs w:val="28"/>
        </w:rPr>
      </w:pPr>
      <w:r w:rsidRPr="00A94604">
        <w:rPr>
          <w:b/>
          <w:bCs/>
          <w:color w:val="auto"/>
          <w:sz w:val="28"/>
          <w:szCs w:val="28"/>
          <w:u w:val="single"/>
        </w:rPr>
        <w:t>SEWER RATES:</w:t>
      </w:r>
      <w:r w:rsidRPr="00A94604">
        <w:rPr>
          <w:color w:val="auto"/>
          <w:sz w:val="28"/>
          <w:szCs w:val="28"/>
        </w:rPr>
        <w:t xml:space="preserve"> </w:t>
      </w:r>
    </w:p>
    <w:p w14:paraId="0A837548" w14:textId="77777777" w:rsidR="00A94604" w:rsidRDefault="00A94604" w:rsidP="00A94604">
      <w:pPr>
        <w:pStyle w:val="Default"/>
        <w:rPr>
          <w:color w:val="auto"/>
          <w:sz w:val="22"/>
          <w:szCs w:val="22"/>
        </w:rPr>
      </w:pPr>
    </w:p>
    <w:p w14:paraId="0BCA3C63" w14:textId="01B63C09" w:rsidR="00A94604" w:rsidRPr="00A94604" w:rsidRDefault="00A94604" w:rsidP="00A94604">
      <w:pPr>
        <w:pStyle w:val="Default"/>
        <w:rPr>
          <w:color w:val="auto"/>
        </w:rPr>
      </w:pPr>
      <w:r w:rsidRPr="00A94604">
        <w:rPr>
          <w:color w:val="auto"/>
        </w:rPr>
        <w:t xml:space="preserve">Residential Monthly Base Service Rate </w:t>
      </w:r>
      <w:r w:rsidRPr="00A94604">
        <w:rPr>
          <w:color w:val="auto"/>
        </w:rPr>
        <w:tab/>
      </w:r>
      <w:r w:rsidRPr="00A94604">
        <w:rPr>
          <w:color w:val="auto"/>
        </w:rPr>
        <w:tab/>
      </w:r>
      <w:r w:rsidRPr="00A94604">
        <w:rPr>
          <w:color w:val="auto"/>
        </w:rPr>
        <w:tab/>
      </w:r>
      <w:r w:rsidRPr="00A94604">
        <w:rPr>
          <w:color w:val="auto"/>
        </w:rPr>
        <w:tab/>
      </w:r>
      <w:r w:rsidRPr="00A94604">
        <w:rPr>
          <w:color w:val="auto"/>
        </w:rPr>
        <w:tab/>
        <w:t>$89.75</w:t>
      </w:r>
    </w:p>
    <w:p w14:paraId="2751C957" w14:textId="0A0402DB" w:rsidR="00A94604" w:rsidRDefault="00A94604" w:rsidP="00A94604">
      <w:pPr>
        <w:pStyle w:val="Default"/>
        <w:rPr>
          <w:color w:val="auto"/>
          <w:sz w:val="22"/>
          <w:szCs w:val="22"/>
        </w:rPr>
      </w:pPr>
      <w:r w:rsidRPr="00A94604">
        <w:rPr>
          <w:color w:val="auto"/>
        </w:rPr>
        <w:t xml:space="preserve">Commercial Monthly Base Service Rate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$101.45</w:t>
      </w:r>
    </w:p>
    <w:p w14:paraId="6944ADFD" w14:textId="77777777" w:rsidR="00A94604" w:rsidRDefault="00A94604" w:rsidP="00A94604">
      <w:pPr>
        <w:pStyle w:val="Default"/>
        <w:rPr>
          <w:color w:val="auto"/>
          <w:sz w:val="22"/>
          <w:szCs w:val="22"/>
        </w:rPr>
      </w:pPr>
    </w:p>
    <w:p w14:paraId="78DCE21C" w14:textId="169319C5" w:rsidR="00A94604" w:rsidRDefault="00A94604" w:rsidP="00A94604">
      <w:pPr>
        <w:pStyle w:val="Default"/>
        <w:rPr>
          <w:b/>
          <w:bCs/>
          <w:color w:val="auto"/>
          <w:sz w:val="28"/>
          <w:szCs w:val="28"/>
        </w:rPr>
      </w:pPr>
      <w:r>
        <w:rPr>
          <w:b/>
          <w:bCs/>
          <w:color w:val="auto"/>
          <w:sz w:val="28"/>
          <w:szCs w:val="28"/>
        </w:rPr>
        <w:t>Additional Information on Proposed Changes to Water Rates and Charges</w:t>
      </w:r>
    </w:p>
    <w:p w14:paraId="37841108" w14:textId="77777777" w:rsidR="00A94604" w:rsidRDefault="00A94604" w:rsidP="00A94604">
      <w:pPr>
        <w:pStyle w:val="Default"/>
        <w:rPr>
          <w:b/>
          <w:bCs/>
          <w:color w:val="auto"/>
          <w:sz w:val="28"/>
          <w:szCs w:val="28"/>
        </w:rPr>
      </w:pPr>
    </w:p>
    <w:p w14:paraId="4A08348B" w14:textId="267C73C3" w:rsidR="00A94604" w:rsidRDefault="00A94604" w:rsidP="00A94604">
      <w:pPr>
        <w:pStyle w:val="Default"/>
        <w:rPr>
          <w:color w:val="auto"/>
        </w:rPr>
      </w:pPr>
      <w:r>
        <w:rPr>
          <w:color w:val="auto"/>
        </w:rPr>
        <w:t xml:space="preserve">Further information on the proposed water rates and charges, including the River Pines Public Utility District 2014 Water Rate Study report prepared by California Rural Water Association, is available for review during business hours at the River Pines Public Utility District, 22900 Canyon Avenue, River Pines.  </w:t>
      </w:r>
    </w:p>
    <w:p w14:paraId="1A65E02A" w14:textId="77777777" w:rsidR="00A94604" w:rsidRDefault="00A94604" w:rsidP="00A94604">
      <w:pPr>
        <w:pStyle w:val="Default"/>
        <w:rPr>
          <w:color w:val="auto"/>
        </w:rPr>
      </w:pPr>
    </w:p>
    <w:p w14:paraId="4F7B281B" w14:textId="77777777" w:rsidR="00A94604" w:rsidRDefault="00A94604" w:rsidP="00A94604">
      <w:pPr>
        <w:pStyle w:val="Default"/>
        <w:rPr>
          <w:b/>
          <w:bCs/>
          <w:color w:val="auto"/>
          <w:sz w:val="28"/>
          <w:szCs w:val="28"/>
        </w:rPr>
      </w:pPr>
    </w:p>
    <w:p w14:paraId="57A3AFFB" w14:textId="3704D564" w:rsidR="00A94604" w:rsidRDefault="00A94604" w:rsidP="00A94604">
      <w:pPr>
        <w:pStyle w:val="Default"/>
        <w:rPr>
          <w:b/>
          <w:bCs/>
          <w:color w:val="auto"/>
          <w:sz w:val="28"/>
          <w:szCs w:val="28"/>
        </w:rPr>
      </w:pPr>
      <w:r>
        <w:rPr>
          <w:b/>
          <w:bCs/>
          <w:color w:val="auto"/>
          <w:sz w:val="28"/>
          <w:szCs w:val="28"/>
        </w:rPr>
        <w:lastRenderedPageBreak/>
        <w:t>How to Protest the Proposed Rates and Service Charges</w:t>
      </w:r>
    </w:p>
    <w:p w14:paraId="2019789D" w14:textId="77777777" w:rsidR="00A94604" w:rsidRDefault="00A94604" w:rsidP="00A94604">
      <w:pPr>
        <w:pStyle w:val="Default"/>
        <w:rPr>
          <w:b/>
          <w:bCs/>
          <w:color w:val="auto"/>
          <w:sz w:val="28"/>
          <w:szCs w:val="28"/>
        </w:rPr>
      </w:pPr>
    </w:p>
    <w:p w14:paraId="65B58CA2" w14:textId="55E85553" w:rsidR="00A94604" w:rsidRDefault="00A94604" w:rsidP="00A94604">
      <w:pPr>
        <w:pStyle w:val="Default"/>
        <w:rPr>
          <w:color w:val="auto"/>
        </w:rPr>
      </w:pPr>
      <w:r>
        <w:rPr>
          <w:color w:val="auto"/>
        </w:rPr>
        <w:t xml:space="preserve">All owners </w:t>
      </w:r>
      <w:r w:rsidR="00430D9D">
        <w:rPr>
          <w:color w:val="auto"/>
        </w:rPr>
        <w:t xml:space="preserve">and tenants </w:t>
      </w:r>
      <w:r>
        <w:rPr>
          <w:color w:val="auto"/>
        </w:rPr>
        <w:t xml:space="preserve">of property receiving water or wastewater service, all water or wastewater service customers and interested persons are invited to attend the public hearing and be heard about the proposed changes to the </w:t>
      </w:r>
      <w:proofErr w:type="gramStart"/>
      <w:r>
        <w:rPr>
          <w:color w:val="auto"/>
        </w:rPr>
        <w:t>District’s</w:t>
      </w:r>
      <w:proofErr w:type="gramEnd"/>
      <w:r>
        <w:rPr>
          <w:color w:val="auto"/>
        </w:rPr>
        <w:t xml:space="preserve"> water rates and service charges.  An owner receiving</w:t>
      </w:r>
      <w:r w:rsidR="00430D9D">
        <w:rPr>
          <w:color w:val="auto"/>
        </w:rPr>
        <w:t xml:space="preserve"> water or wastewater service may protest the proposed water or wastewater rates and service charges by submitting a written protest by mail to River Pines Public Utility District, PO Box 70, River Pines, CA  95675; or in person to River Pines Public Utility District, 12900 Canyon Avenue, River Pines, CA  95675.  Written protests must be received (not postmarked) by the General Manager before the close of the public hearing to be held on January 15, 2025, at 5:30 p.m.  Any protest submitted by e-mail or other electronic means will not be accepted.</w:t>
      </w:r>
    </w:p>
    <w:p w14:paraId="1A94D63D" w14:textId="77777777" w:rsidR="00430D9D" w:rsidRDefault="00430D9D" w:rsidP="00A94604">
      <w:pPr>
        <w:pStyle w:val="Default"/>
        <w:rPr>
          <w:color w:val="auto"/>
        </w:rPr>
      </w:pPr>
    </w:p>
    <w:p w14:paraId="1E4DB80F" w14:textId="24B2B195" w:rsidR="00430D9D" w:rsidRPr="00914323" w:rsidRDefault="00430D9D" w:rsidP="00A94604">
      <w:pPr>
        <w:pStyle w:val="Default"/>
        <w:rPr>
          <w:color w:val="auto"/>
        </w:rPr>
      </w:pPr>
      <w:r>
        <w:rPr>
          <w:color w:val="auto"/>
        </w:rPr>
        <w:t>To be valid, a protest must be signed by the property owner and must include the assessor’s parcel number, the address of the parcel served, the customer’s account number for the parcel served, and a statement specifying whether the protestant is protesting the District’s proposed water rates and charges or wastewater rates , or both to be considered by the District’s Board of Directors at the public hearing set for January 15, 2025.  To be valid, a protest must relate to a parcel that receives the service for which the rates and charges are protested.  Only one written protest per identified parcel will be counted for purposes of determining whether there is a majority protest.  The form below</w:t>
      </w:r>
      <w:r w:rsidR="00914323">
        <w:rPr>
          <w:color w:val="auto"/>
        </w:rPr>
        <w:t xml:space="preserve"> must be completed and returned </w:t>
      </w:r>
      <w:r w:rsidR="00914323" w:rsidRPr="00914323">
        <w:rPr>
          <w:b/>
          <w:bCs/>
          <w:color w:val="auto"/>
        </w:rPr>
        <w:t>“sealed”</w:t>
      </w:r>
      <w:r w:rsidR="00914323">
        <w:rPr>
          <w:b/>
          <w:bCs/>
          <w:color w:val="auto"/>
        </w:rPr>
        <w:t xml:space="preserve"> </w:t>
      </w:r>
      <w:r w:rsidR="00914323">
        <w:rPr>
          <w:color w:val="auto"/>
        </w:rPr>
        <w:t xml:space="preserve">in the envelope provided for </w:t>
      </w:r>
      <w:r w:rsidR="00D5413B">
        <w:rPr>
          <w:color w:val="auto"/>
        </w:rPr>
        <w:t>protest (</w:t>
      </w:r>
      <w:r w:rsidR="00914323">
        <w:rPr>
          <w:color w:val="auto"/>
        </w:rPr>
        <w:t xml:space="preserve">do NOT put payments with protest).  The General Manager, or her </w:t>
      </w:r>
      <w:proofErr w:type="gramStart"/>
      <w:r w:rsidR="00914323">
        <w:rPr>
          <w:color w:val="auto"/>
        </w:rPr>
        <w:t>designee</w:t>
      </w:r>
      <w:proofErr w:type="gramEnd"/>
      <w:r w:rsidR="00914323">
        <w:rPr>
          <w:color w:val="auto"/>
        </w:rPr>
        <w:t>, will tabulate the protests, and any member of the public may observe the tabulation.  All protest forms will be considered public records.</w:t>
      </w:r>
    </w:p>
    <w:p w14:paraId="1C5CCFEA" w14:textId="0A2B21C8" w:rsidR="009E6192" w:rsidRPr="009E6192" w:rsidRDefault="00914323" w:rsidP="00914323">
      <w:pPr>
        <w:pStyle w:val="Default"/>
        <w:rPr>
          <w:sz w:val="28"/>
          <w:szCs w:val="28"/>
        </w:rPr>
      </w:pPr>
      <w:r>
        <w:rPr>
          <w:b/>
          <w:bCs/>
          <w:color w:val="auto"/>
          <w:sz w:val="28"/>
          <w:szCs w:val="28"/>
        </w:rPr>
        <w:t>------------------------------------------------------------------------------------------------------------</w:t>
      </w:r>
    </w:p>
    <w:p w14:paraId="14A1D9EC" w14:textId="5ACC822B" w:rsidR="009E6192" w:rsidRPr="00827825" w:rsidRDefault="00827825" w:rsidP="00827825">
      <w:pPr>
        <w:pStyle w:val="NoSpacing"/>
        <w:rPr>
          <w:b/>
          <w:bCs/>
        </w:rPr>
      </w:pPr>
      <w:r w:rsidRPr="00827825">
        <w:rPr>
          <w:b/>
          <w:bCs/>
        </w:rPr>
        <w:t>River Pines Public Utility District</w:t>
      </w:r>
      <w:r w:rsidRPr="00827825">
        <w:rPr>
          <w:b/>
          <w:bCs/>
        </w:rPr>
        <w:tab/>
        <w:t>Proposed Increased Rates &amp; Charges for Water and</w:t>
      </w:r>
    </w:p>
    <w:p w14:paraId="16BA0468" w14:textId="47C0D545" w:rsidR="00827825" w:rsidRPr="00827825" w:rsidRDefault="00827825" w:rsidP="00827825">
      <w:pPr>
        <w:pStyle w:val="NoSpacing"/>
        <w:rPr>
          <w:b/>
          <w:bCs/>
        </w:rPr>
      </w:pPr>
      <w:r w:rsidRPr="00827825">
        <w:rPr>
          <w:b/>
          <w:bCs/>
        </w:rPr>
        <w:tab/>
      </w:r>
      <w:r w:rsidRPr="00827825">
        <w:rPr>
          <w:b/>
          <w:bCs/>
        </w:rPr>
        <w:tab/>
      </w:r>
      <w:r w:rsidRPr="00827825">
        <w:rPr>
          <w:b/>
          <w:bCs/>
        </w:rPr>
        <w:tab/>
      </w:r>
      <w:r w:rsidRPr="00827825">
        <w:rPr>
          <w:b/>
          <w:bCs/>
        </w:rPr>
        <w:tab/>
      </w:r>
      <w:r w:rsidRPr="00827825">
        <w:rPr>
          <w:b/>
          <w:bCs/>
        </w:rPr>
        <w:tab/>
        <w:t>Wastewater Service</w:t>
      </w:r>
    </w:p>
    <w:p w14:paraId="35F1D070" w14:textId="396A6B68" w:rsidR="009E6192" w:rsidRDefault="00827825" w:rsidP="00827825">
      <w:pPr>
        <w:pStyle w:val="NoSpacing"/>
      </w:pPr>
      <w:r>
        <w:t>Public Hearing Date &amp; Time:  Wednesday, January 15, 2025, at 5:30 p.m.</w:t>
      </w:r>
    </w:p>
    <w:p w14:paraId="275D7CFD" w14:textId="09A87DDA" w:rsidR="00827825" w:rsidRDefault="00827825" w:rsidP="00827825">
      <w:pPr>
        <w:pStyle w:val="NoSpacing"/>
      </w:pPr>
      <w:r>
        <w:tab/>
      </w:r>
      <w:r>
        <w:tab/>
      </w:r>
      <w:r>
        <w:tab/>
        <w:t xml:space="preserve">             River Pines Town Hall</w:t>
      </w:r>
    </w:p>
    <w:p w14:paraId="74879360" w14:textId="13A64B24" w:rsidR="00827825" w:rsidRDefault="00827825" w:rsidP="00827825">
      <w:pPr>
        <w:pStyle w:val="NoSpacing"/>
      </w:pPr>
      <w:r>
        <w:tab/>
      </w:r>
      <w:r>
        <w:tab/>
      </w:r>
      <w:r>
        <w:tab/>
        <w:t xml:space="preserve">             22900 Canyon Avenue, River Pines, California</w:t>
      </w:r>
    </w:p>
    <w:p w14:paraId="4A179E88" w14:textId="77777777" w:rsidR="00827825" w:rsidRDefault="00827825" w:rsidP="00827825">
      <w:pPr>
        <w:pStyle w:val="NoSpacing"/>
      </w:pPr>
    </w:p>
    <w:p w14:paraId="62CB432E" w14:textId="4C037EEE" w:rsidR="00827825" w:rsidRDefault="00827825" w:rsidP="00827825">
      <w:pPr>
        <w:pStyle w:val="NoSpacing"/>
        <w:ind w:left="720"/>
      </w:pPr>
      <w:proofErr w:type="gramStart"/>
      <w:r>
        <w:t>☐  I</w:t>
      </w:r>
      <w:proofErr w:type="gramEnd"/>
      <w:r>
        <w:t xml:space="preserve"> hereby protest the proposed increased rates and charges for water service to  considered by District’s Board of Directors at the public hearing set for January 15, 2025.</w:t>
      </w:r>
    </w:p>
    <w:p w14:paraId="11431150" w14:textId="757E6D59" w:rsidR="00827825" w:rsidRDefault="00827825" w:rsidP="00827825">
      <w:pPr>
        <w:pStyle w:val="NoSpacing"/>
        <w:ind w:left="720"/>
      </w:pPr>
      <w:proofErr w:type="gramStart"/>
      <w:r>
        <w:t>☐  I</w:t>
      </w:r>
      <w:proofErr w:type="gramEnd"/>
      <w:r>
        <w:t xml:space="preserve"> hereby protest the proposed increased rates for wastewater service to be considered by  District’s Board of Directors at the public hearing set for January 15,2025.</w:t>
      </w:r>
    </w:p>
    <w:p w14:paraId="4F6B9D8B" w14:textId="77777777" w:rsidR="00827825" w:rsidRDefault="00827825" w:rsidP="00827825">
      <w:pPr>
        <w:pStyle w:val="NoSpacing"/>
      </w:pPr>
    </w:p>
    <w:p w14:paraId="66242056" w14:textId="5D836796" w:rsidR="00827825" w:rsidRDefault="00827825" w:rsidP="00827825">
      <w:pPr>
        <w:pStyle w:val="NoSpacing"/>
      </w:pPr>
      <w:r>
        <w:t>Reason(s): _________________________________________________________________________________</w:t>
      </w:r>
    </w:p>
    <w:p w14:paraId="7FAED9C0" w14:textId="48B52AB3" w:rsidR="00827825" w:rsidRDefault="00827825" w:rsidP="00827825">
      <w:pPr>
        <w:pStyle w:val="NoSpacing"/>
      </w:pPr>
      <w:r>
        <w:t>____________________________________________________________________________________________</w:t>
      </w:r>
    </w:p>
    <w:p w14:paraId="05E45FE8" w14:textId="6C02F9FF" w:rsidR="00827825" w:rsidRDefault="00827825" w:rsidP="00827825">
      <w:pPr>
        <w:pStyle w:val="NoSpacing"/>
      </w:pPr>
      <w:r>
        <w:t xml:space="preserve">Assessor Parcel Number of parcel </w:t>
      </w:r>
      <w:proofErr w:type="gramStart"/>
      <w:r>
        <w:t>served:_</w:t>
      </w:r>
      <w:proofErr w:type="gramEnd"/>
      <w:r>
        <w:t>____________________________________________________</w:t>
      </w:r>
    </w:p>
    <w:p w14:paraId="5BF67FDF" w14:textId="62531918" w:rsidR="00827825" w:rsidRDefault="00827825" w:rsidP="00827825">
      <w:pPr>
        <w:pStyle w:val="NoSpacing"/>
      </w:pPr>
      <w:r>
        <w:t xml:space="preserve">Address of parcel </w:t>
      </w:r>
      <w:proofErr w:type="gramStart"/>
      <w:r>
        <w:t>served:_</w:t>
      </w:r>
      <w:proofErr w:type="gramEnd"/>
      <w:r>
        <w:t>___________________________________________________________________</w:t>
      </w:r>
    </w:p>
    <w:p w14:paraId="420D5A3E" w14:textId="4CD87B0A" w:rsidR="00827825" w:rsidRDefault="00827825" w:rsidP="00827825">
      <w:pPr>
        <w:pStyle w:val="NoSpacing"/>
      </w:pPr>
      <w:r>
        <w:t xml:space="preserve">RP customer account number of parcel </w:t>
      </w:r>
      <w:proofErr w:type="gramStart"/>
      <w:r>
        <w:t>served:_</w:t>
      </w:r>
      <w:proofErr w:type="gramEnd"/>
      <w:r>
        <w:t>_______________________________________________</w:t>
      </w:r>
    </w:p>
    <w:p w14:paraId="7C1F74F9" w14:textId="77777777" w:rsidR="00827825" w:rsidRDefault="00827825" w:rsidP="00827825">
      <w:pPr>
        <w:pStyle w:val="NoSpacing"/>
      </w:pPr>
    </w:p>
    <w:p w14:paraId="2DE2864C" w14:textId="224081D0" w:rsidR="00827825" w:rsidRDefault="00827825" w:rsidP="00827825">
      <w:pPr>
        <w:pStyle w:val="NoSpacing"/>
      </w:pPr>
      <w:r>
        <w:t xml:space="preserve">I declare that I am the owner of the above listed parcel, or tenant </w:t>
      </w:r>
      <w:proofErr w:type="gramStart"/>
      <w:r>
        <w:t>at</w:t>
      </w:r>
      <w:proofErr w:type="gramEnd"/>
      <w:r>
        <w:t xml:space="preserve"> the above listed property.</w:t>
      </w:r>
    </w:p>
    <w:p w14:paraId="40EC1271" w14:textId="35D3FDAE" w:rsidR="00827825" w:rsidRDefault="00827825" w:rsidP="00827825">
      <w:pPr>
        <w:pStyle w:val="NoSpacing"/>
      </w:pPr>
      <w:r>
        <w:t xml:space="preserve">Property Owner </w:t>
      </w:r>
      <w:proofErr w:type="gramStart"/>
      <w:r>
        <w:t>Name:_</w:t>
      </w:r>
      <w:proofErr w:type="gramEnd"/>
      <w:r>
        <w:t>______________________________________________________________________</w:t>
      </w:r>
    </w:p>
    <w:p w14:paraId="4706091F" w14:textId="2826D5F8" w:rsidR="00827825" w:rsidRDefault="00827825" w:rsidP="00827825">
      <w:pPr>
        <w:pStyle w:val="NoSpacing"/>
      </w:pPr>
      <w:r>
        <w:t xml:space="preserve">Property Owner </w:t>
      </w:r>
      <w:proofErr w:type="gramStart"/>
      <w:r>
        <w:t>Signature:_</w:t>
      </w:r>
      <w:proofErr w:type="gramEnd"/>
      <w:r>
        <w:t>__________________________________________________________________</w:t>
      </w:r>
    </w:p>
    <w:p w14:paraId="0161867B" w14:textId="77777777" w:rsidR="00827825" w:rsidRDefault="00827825" w:rsidP="00827825">
      <w:pPr>
        <w:pStyle w:val="NoSpacing"/>
      </w:pPr>
    </w:p>
    <w:p w14:paraId="0158FA73" w14:textId="77777777" w:rsidR="00827825" w:rsidRPr="009E6192" w:rsidRDefault="00827825" w:rsidP="00827825">
      <w:pPr>
        <w:pStyle w:val="NoSpacing"/>
      </w:pPr>
    </w:p>
    <w:sectPr w:rsidR="00827825" w:rsidRPr="009E6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22702"/>
    <w:multiLevelType w:val="hybridMultilevel"/>
    <w:tmpl w:val="4984D23E"/>
    <w:lvl w:ilvl="0" w:tplc="FE0CC0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418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92"/>
    <w:rsid w:val="000544D3"/>
    <w:rsid w:val="001914BB"/>
    <w:rsid w:val="00430D9D"/>
    <w:rsid w:val="004A6C49"/>
    <w:rsid w:val="004B0CDA"/>
    <w:rsid w:val="007F5F1E"/>
    <w:rsid w:val="00827825"/>
    <w:rsid w:val="008D3001"/>
    <w:rsid w:val="00914323"/>
    <w:rsid w:val="009E2EA7"/>
    <w:rsid w:val="009E6192"/>
    <w:rsid w:val="00A94604"/>
    <w:rsid w:val="00B34F16"/>
    <w:rsid w:val="00BF77BB"/>
    <w:rsid w:val="00D5413B"/>
    <w:rsid w:val="00E032BA"/>
    <w:rsid w:val="00E7433A"/>
    <w:rsid w:val="00E82F88"/>
    <w:rsid w:val="00F3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5D6DDA"/>
  <w15:chartTrackingRefBased/>
  <w15:docId w15:val="{FBC77BE7-2C0C-45A1-A233-FCC61E5E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192"/>
    <w:rPr>
      <w:rFonts w:eastAsiaTheme="majorEastAsia" w:cstheme="majorBidi"/>
      <w:color w:val="272727" w:themeColor="text1" w:themeTint="D8"/>
    </w:rPr>
  </w:style>
  <w:style w:type="paragraph" w:styleId="Title">
    <w:name w:val="Title"/>
    <w:basedOn w:val="Normal"/>
    <w:next w:val="Normal"/>
    <w:link w:val="TitleChar"/>
    <w:uiPriority w:val="10"/>
    <w:qFormat/>
    <w:rsid w:val="009E6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192"/>
    <w:pPr>
      <w:spacing w:before="160"/>
      <w:jc w:val="center"/>
    </w:pPr>
    <w:rPr>
      <w:i/>
      <w:iCs/>
      <w:color w:val="404040" w:themeColor="text1" w:themeTint="BF"/>
    </w:rPr>
  </w:style>
  <w:style w:type="character" w:customStyle="1" w:styleId="QuoteChar">
    <w:name w:val="Quote Char"/>
    <w:basedOn w:val="DefaultParagraphFont"/>
    <w:link w:val="Quote"/>
    <w:uiPriority w:val="29"/>
    <w:rsid w:val="009E6192"/>
    <w:rPr>
      <w:i/>
      <w:iCs/>
      <w:color w:val="404040" w:themeColor="text1" w:themeTint="BF"/>
    </w:rPr>
  </w:style>
  <w:style w:type="paragraph" w:styleId="ListParagraph">
    <w:name w:val="List Paragraph"/>
    <w:basedOn w:val="Normal"/>
    <w:uiPriority w:val="34"/>
    <w:qFormat/>
    <w:rsid w:val="009E6192"/>
    <w:pPr>
      <w:ind w:left="720"/>
      <w:contextualSpacing/>
    </w:pPr>
  </w:style>
  <w:style w:type="character" w:styleId="IntenseEmphasis">
    <w:name w:val="Intense Emphasis"/>
    <w:basedOn w:val="DefaultParagraphFont"/>
    <w:uiPriority w:val="21"/>
    <w:qFormat/>
    <w:rsid w:val="009E6192"/>
    <w:rPr>
      <w:i/>
      <w:iCs/>
      <w:color w:val="0F4761" w:themeColor="accent1" w:themeShade="BF"/>
    </w:rPr>
  </w:style>
  <w:style w:type="paragraph" w:styleId="IntenseQuote">
    <w:name w:val="Intense Quote"/>
    <w:basedOn w:val="Normal"/>
    <w:next w:val="Normal"/>
    <w:link w:val="IntenseQuoteChar"/>
    <w:uiPriority w:val="30"/>
    <w:qFormat/>
    <w:rsid w:val="009E6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192"/>
    <w:rPr>
      <w:i/>
      <w:iCs/>
      <w:color w:val="0F4761" w:themeColor="accent1" w:themeShade="BF"/>
    </w:rPr>
  </w:style>
  <w:style w:type="character" w:styleId="IntenseReference">
    <w:name w:val="Intense Reference"/>
    <w:basedOn w:val="DefaultParagraphFont"/>
    <w:uiPriority w:val="32"/>
    <w:qFormat/>
    <w:rsid w:val="009E6192"/>
    <w:rPr>
      <w:b/>
      <w:bCs/>
      <w:smallCaps/>
      <w:color w:val="0F4761" w:themeColor="accent1" w:themeShade="BF"/>
      <w:spacing w:val="5"/>
    </w:rPr>
  </w:style>
  <w:style w:type="paragraph" w:styleId="NoSpacing">
    <w:name w:val="No Spacing"/>
    <w:uiPriority w:val="1"/>
    <w:qFormat/>
    <w:rsid w:val="009E6192"/>
    <w:pPr>
      <w:spacing w:after="0" w:line="240" w:lineRule="auto"/>
    </w:pPr>
  </w:style>
  <w:style w:type="paragraph" w:customStyle="1" w:styleId="Default">
    <w:name w:val="Default"/>
    <w:rsid w:val="00A9460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 Pines Public Utility District</dc:creator>
  <cp:keywords/>
  <dc:description/>
  <cp:lastModifiedBy>River Pines Public Utility District</cp:lastModifiedBy>
  <cp:revision>1</cp:revision>
  <dcterms:created xsi:type="dcterms:W3CDTF">2024-11-14T18:16:00Z</dcterms:created>
  <dcterms:modified xsi:type="dcterms:W3CDTF">2024-11-14T20:36:00Z</dcterms:modified>
</cp:coreProperties>
</file>